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E6977">
      <w:pPr>
        <w:spacing w:before="120" w:after="120" w:line="360" w:lineRule="auto"/>
        <w:jc w:val="left"/>
        <w:rPr>
          <w:rFonts w:ascii="Times New Roman" w:hAnsi="Times New Roman"/>
          <w:b/>
          <w:bCs/>
          <w:sz w:val="84"/>
          <w:szCs w:val="24"/>
        </w:rPr>
      </w:pPr>
    </w:p>
    <w:p w14:paraId="221A6BEB">
      <w:pPr>
        <w:spacing w:before="120" w:after="120" w:line="360" w:lineRule="auto"/>
        <w:jc w:val="center"/>
        <w:rPr>
          <w:rFonts w:ascii="Times New Roman" w:hAnsi="Times New Roman" w:eastAsia="黑体"/>
          <w:b/>
          <w:bCs/>
          <w:sz w:val="84"/>
          <w:szCs w:val="24"/>
        </w:rPr>
      </w:pPr>
      <w:r>
        <w:rPr>
          <w:rFonts w:ascii="Times New Roman" w:hAnsi="Times New Roman" w:eastAsia="黑体"/>
          <w:b/>
          <w:bCs/>
          <w:sz w:val="84"/>
          <w:szCs w:val="24"/>
        </w:rPr>
        <w:t>竞争性磋商文件</w:t>
      </w:r>
    </w:p>
    <w:p w14:paraId="589F8B59">
      <w:pPr>
        <w:spacing w:before="120" w:after="120" w:line="360" w:lineRule="auto"/>
        <w:rPr>
          <w:rFonts w:ascii="Times New Roman" w:hAnsi="Times New Roman"/>
          <w:b/>
          <w:bCs/>
          <w:sz w:val="32"/>
          <w:szCs w:val="24"/>
        </w:rPr>
      </w:pPr>
    </w:p>
    <w:p w14:paraId="115821A5">
      <w:pPr>
        <w:spacing w:before="120" w:after="120" w:line="360" w:lineRule="auto"/>
        <w:jc w:val="center"/>
        <w:rPr>
          <w:rFonts w:ascii="Times New Roman" w:hAnsi="Times New Roman"/>
          <w:b/>
          <w:bCs/>
          <w:sz w:val="32"/>
          <w:szCs w:val="24"/>
        </w:rPr>
      </w:pPr>
    </w:p>
    <w:p w14:paraId="0D85966E">
      <w:pPr>
        <w:spacing w:before="120" w:after="120" w:line="360" w:lineRule="auto"/>
        <w:ind w:firstLine="315"/>
        <w:jc w:val="left"/>
        <w:rPr>
          <w:rFonts w:ascii="Times New Roman" w:hAnsi="Times New Roman"/>
          <w:b/>
          <w:bCs/>
          <w:sz w:val="32"/>
          <w:szCs w:val="24"/>
        </w:rPr>
      </w:pPr>
      <w:r>
        <w:rPr>
          <w:rFonts w:ascii="Times New Roman" w:hAnsi="Times New Roman"/>
          <w:b/>
          <w:bCs/>
          <w:sz w:val="32"/>
          <w:szCs w:val="24"/>
        </w:rPr>
        <w:t>项目名称：</w:t>
      </w:r>
      <w:r>
        <w:rPr>
          <w:rFonts w:hint="eastAsia" w:ascii="Times New Roman" w:hAnsi="Times New Roman"/>
          <w:b/>
          <w:bCs/>
          <w:sz w:val="32"/>
          <w:szCs w:val="24"/>
        </w:rPr>
        <w:t>2026年度泗阳县补充耕地质量评定项目</w:t>
      </w:r>
    </w:p>
    <w:p w14:paraId="1ABF1FC0">
      <w:pPr>
        <w:spacing w:before="120" w:after="120" w:line="360" w:lineRule="auto"/>
        <w:ind w:firstLine="315"/>
        <w:jc w:val="left"/>
        <w:rPr>
          <w:rFonts w:hint="eastAsia" w:ascii="Times New Roman" w:hAnsi="Times New Roman" w:eastAsia="宋体"/>
          <w:b/>
          <w:bCs/>
          <w:sz w:val="32"/>
          <w:szCs w:val="24"/>
          <w:lang w:eastAsia="zh-CN"/>
        </w:rPr>
      </w:pPr>
      <w:r>
        <w:rPr>
          <w:rFonts w:ascii="Times New Roman" w:hAnsi="Times New Roman"/>
          <w:b/>
          <w:bCs/>
          <w:sz w:val="32"/>
          <w:szCs w:val="24"/>
        </w:rPr>
        <w:t>项目编号：</w:t>
      </w:r>
      <w:r>
        <w:rPr>
          <w:rFonts w:hint="eastAsia" w:ascii="Times New Roman" w:hAnsi="Times New Roman"/>
          <w:b/>
          <w:bCs/>
          <w:sz w:val="32"/>
          <w:szCs w:val="24"/>
          <w:lang w:eastAsia="zh-CN"/>
        </w:rPr>
        <w:t>JSZC-321323-JSZC-C2026-0022</w:t>
      </w:r>
    </w:p>
    <w:p w14:paraId="596CA145">
      <w:pPr>
        <w:spacing w:before="120" w:after="120" w:line="360" w:lineRule="auto"/>
        <w:jc w:val="center"/>
        <w:rPr>
          <w:rFonts w:ascii="Times New Roman" w:hAnsi="Times New Roman"/>
          <w:b/>
          <w:sz w:val="30"/>
          <w:szCs w:val="30"/>
        </w:rPr>
      </w:pPr>
      <w:r>
        <w:rPr>
          <w:rFonts w:ascii="Times New Roman" w:hAnsi="Times New Roman"/>
          <w:b/>
          <w:bCs/>
          <w:sz w:val="32"/>
          <w:szCs w:val="24"/>
        </w:rPr>
        <w:t>（服务类项目，</w:t>
      </w:r>
      <w:r>
        <w:rPr>
          <w:rFonts w:ascii="Times New Roman" w:hAnsi="Times New Roman"/>
          <w:b/>
          <w:sz w:val="30"/>
          <w:szCs w:val="30"/>
        </w:rPr>
        <w:t>本项目</w:t>
      </w:r>
      <w:r>
        <w:rPr>
          <w:rFonts w:ascii="Times New Roman" w:hAnsi="Times New Roman"/>
          <w:b/>
          <w:bCs/>
          <w:sz w:val="32"/>
          <w:szCs w:val="24"/>
        </w:rPr>
        <w:t>专门面向中小企业）</w:t>
      </w:r>
    </w:p>
    <w:p w14:paraId="2CAB9F7C">
      <w:pPr>
        <w:spacing w:line="360" w:lineRule="auto"/>
        <w:jc w:val="left"/>
        <w:rPr>
          <w:rFonts w:ascii="Times New Roman" w:hAnsi="Times New Roman"/>
          <w:sz w:val="24"/>
          <w:szCs w:val="24"/>
        </w:rPr>
      </w:pPr>
    </w:p>
    <w:p w14:paraId="41695A60">
      <w:pPr>
        <w:spacing w:line="360" w:lineRule="auto"/>
        <w:jc w:val="left"/>
        <w:rPr>
          <w:rFonts w:ascii="Times New Roman" w:hAnsi="Times New Roman"/>
          <w:sz w:val="24"/>
          <w:szCs w:val="24"/>
        </w:rPr>
      </w:pPr>
    </w:p>
    <w:p w14:paraId="134BB09B">
      <w:pPr>
        <w:spacing w:line="360" w:lineRule="auto"/>
        <w:jc w:val="left"/>
        <w:rPr>
          <w:rFonts w:ascii="Times New Roman" w:hAnsi="Times New Roman"/>
          <w:sz w:val="24"/>
          <w:szCs w:val="24"/>
        </w:rPr>
      </w:pPr>
    </w:p>
    <w:p w14:paraId="21DC4145">
      <w:pPr>
        <w:spacing w:line="360" w:lineRule="auto"/>
        <w:jc w:val="left"/>
        <w:rPr>
          <w:rFonts w:ascii="Times New Roman" w:hAnsi="Times New Roman"/>
          <w:sz w:val="24"/>
          <w:szCs w:val="24"/>
        </w:rPr>
      </w:pPr>
    </w:p>
    <w:p w14:paraId="2E9977CC">
      <w:pPr>
        <w:spacing w:line="360" w:lineRule="auto"/>
        <w:jc w:val="left"/>
        <w:rPr>
          <w:rFonts w:ascii="Times New Roman" w:hAnsi="Times New Roman"/>
          <w:sz w:val="24"/>
          <w:szCs w:val="24"/>
        </w:rPr>
      </w:pPr>
    </w:p>
    <w:p w14:paraId="241082C6">
      <w:pPr>
        <w:pStyle w:val="265"/>
        <w:ind w:firstLine="507"/>
        <w:jc w:val="both"/>
        <w:rPr>
          <w:rFonts w:ascii="Times New Roman" w:hAnsi="Times New Roman"/>
          <w:b/>
          <w:bCs/>
          <w:sz w:val="32"/>
          <w:u w:val="single"/>
        </w:rPr>
      </w:pPr>
      <w:r>
        <w:rPr>
          <w:rFonts w:ascii="Times New Roman" w:hAnsi="Times New Roman"/>
          <w:b/>
          <w:bCs/>
          <w:spacing w:val="160"/>
          <w:sz w:val="32"/>
        </w:rPr>
        <w:t>采购人</w:t>
      </w:r>
      <w:r>
        <w:rPr>
          <w:rFonts w:ascii="Times New Roman" w:hAnsi="Times New Roman"/>
          <w:b/>
          <w:bCs/>
          <w:sz w:val="32"/>
        </w:rPr>
        <w:t>：</w:t>
      </w:r>
      <w:r>
        <w:rPr>
          <w:rFonts w:hint="eastAsia" w:ascii="Times New Roman" w:hAnsi="Times New Roman"/>
          <w:b/>
          <w:bCs/>
          <w:sz w:val="32"/>
          <w:u w:val="single"/>
        </w:rPr>
        <w:t>泗阳县农业技术推广中心</w:t>
      </w:r>
    </w:p>
    <w:p w14:paraId="365B9CCD">
      <w:pPr>
        <w:pStyle w:val="265"/>
        <w:ind w:firstLine="479"/>
        <w:jc w:val="both"/>
        <w:rPr>
          <w:rFonts w:ascii="Times New Roman" w:hAnsi="Times New Roman"/>
          <w:b/>
          <w:bCs/>
          <w:sz w:val="32"/>
          <w:u w:val="single"/>
        </w:rPr>
      </w:pPr>
      <w:r>
        <w:rPr>
          <w:rFonts w:ascii="Times New Roman" w:hAnsi="Times New Roman"/>
          <w:b/>
          <w:bCs/>
          <w:sz w:val="32"/>
        </w:rPr>
        <w:t>采购代理机构：</w:t>
      </w:r>
      <w:r>
        <w:rPr>
          <w:rFonts w:ascii="Times New Roman" w:hAnsi="Times New Roman"/>
          <w:b/>
          <w:bCs/>
          <w:sz w:val="32"/>
          <w:u w:val="single"/>
        </w:rPr>
        <w:t>江苏志诚工程咨询管理有限公司</w:t>
      </w:r>
    </w:p>
    <w:p w14:paraId="694F6CC5">
      <w:pPr>
        <w:pStyle w:val="265"/>
        <w:ind w:firstLine="2570"/>
        <w:jc w:val="both"/>
        <w:rPr>
          <w:rFonts w:ascii="Times New Roman" w:hAnsi="Times New Roman"/>
          <w:b/>
          <w:bCs/>
          <w:sz w:val="32"/>
        </w:rPr>
      </w:pPr>
      <w:r>
        <w:rPr>
          <w:rFonts w:ascii="Times New Roman" w:hAnsi="Times New Roman"/>
          <w:b/>
          <w:bCs/>
          <w:sz w:val="32"/>
        </w:rPr>
        <w:t>202</w:t>
      </w:r>
      <w:r>
        <w:rPr>
          <w:rFonts w:hint="eastAsia" w:ascii="Times New Roman" w:hAnsi="Times New Roman"/>
          <w:b/>
          <w:bCs/>
          <w:sz w:val="32"/>
        </w:rPr>
        <w:t>6</w:t>
      </w:r>
      <w:r>
        <w:rPr>
          <w:rFonts w:ascii="Times New Roman" w:hAnsi="Times New Roman"/>
          <w:b/>
          <w:bCs/>
          <w:sz w:val="32"/>
        </w:rPr>
        <w:t>年</w:t>
      </w:r>
      <w:r>
        <w:rPr>
          <w:rFonts w:hint="eastAsia" w:ascii="Times New Roman" w:hAnsi="Times New Roman"/>
          <w:b/>
          <w:bCs/>
          <w:sz w:val="32"/>
          <w:lang w:val="en-US" w:eastAsia="zh-CN"/>
        </w:rPr>
        <w:t>6</w:t>
      </w:r>
      <w:r>
        <w:rPr>
          <w:rFonts w:ascii="Times New Roman" w:hAnsi="Times New Roman"/>
          <w:b/>
          <w:bCs/>
          <w:sz w:val="32"/>
        </w:rPr>
        <w:t>月</w:t>
      </w:r>
      <w:r>
        <w:rPr>
          <w:rFonts w:hint="eastAsia" w:ascii="Times New Roman" w:hAnsi="Times New Roman"/>
          <w:b/>
          <w:bCs/>
          <w:sz w:val="32"/>
          <w:lang w:val="en-US" w:eastAsia="zh-CN"/>
        </w:rPr>
        <w:t>5</w:t>
      </w:r>
      <w:r>
        <w:rPr>
          <w:rFonts w:ascii="Times New Roman" w:hAnsi="Times New Roman"/>
          <w:b/>
          <w:bCs/>
          <w:sz w:val="32"/>
        </w:rPr>
        <w:t>日</w:t>
      </w:r>
    </w:p>
    <w:p w14:paraId="4F89ABBE">
      <w:pPr>
        <w:spacing w:before="120" w:after="120" w:line="360" w:lineRule="auto"/>
        <w:jc w:val="left"/>
        <w:rPr>
          <w:rFonts w:ascii="Times New Roman" w:hAnsi="Times New Roman"/>
          <w:sz w:val="24"/>
          <w:szCs w:val="24"/>
          <w:u w:val="single"/>
        </w:rPr>
      </w:pPr>
      <w:r>
        <w:rPr>
          <w:rFonts w:ascii="Times New Roman" w:hAnsi="Times New Roman"/>
          <w:sz w:val="24"/>
          <w:szCs w:val="24"/>
        </w:rPr>
        <w:t xml:space="preserve">                        </w:t>
      </w:r>
    </w:p>
    <w:p w14:paraId="3DB4E766">
      <w:pPr>
        <w:spacing w:before="120" w:after="120" w:line="360" w:lineRule="auto"/>
        <w:jc w:val="center"/>
        <w:rPr>
          <w:rFonts w:ascii="Times New Roman" w:hAnsi="Times New Roman"/>
          <w:sz w:val="24"/>
          <w:szCs w:val="24"/>
        </w:rPr>
      </w:pPr>
    </w:p>
    <w:p w14:paraId="34DDCD2C">
      <w:pPr>
        <w:spacing w:line="480" w:lineRule="auto"/>
        <w:jc w:val="center"/>
        <w:outlineLvl w:val="0"/>
        <w:rPr>
          <w:rFonts w:ascii="Times New Roman" w:hAnsi="Times New Roman"/>
          <w:szCs w:val="21"/>
        </w:rPr>
      </w:pPr>
    </w:p>
    <w:p w14:paraId="32B1778B">
      <w:pPr>
        <w:spacing w:line="480" w:lineRule="auto"/>
        <w:jc w:val="center"/>
        <w:outlineLvl w:val="0"/>
        <w:rPr>
          <w:rFonts w:ascii="Times New Roman" w:hAnsi="Times New Roman"/>
          <w:szCs w:val="21"/>
        </w:rPr>
      </w:pPr>
    </w:p>
    <w:p w14:paraId="4E48CED2">
      <w:pPr>
        <w:spacing w:line="480" w:lineRule="auto"/>
        <w:jc w:val="center"/>
        <w:outlineLvl w:val="0"/>
        <w:rPr>
          <w:rFonts w:ascii="Times New Roman" w:hAnsi="Times New Roman"/>
          <w:szCs w:val="21"/>
        </w:rPr>
      </w:pPr>
    </w:p>
    <w:p w14:paraId="45149010">
      <w:pPr>
        <w:spacing w:line="360" w:lineRule="auto"/>
        <w:ind w:firstLine="480"/>
        <w:jc w:val="center"/>
        <w:rPr>
          <w:rFonts w:ascii="Times New Roman" w:hAnsi="Times New Roman"/>
          <w:b/>
          <w:bCs/>
          <w:sz w:val="40"/>
          <w:szCs w:val="40"/>
        </w:rPr>
      </w:pPr>
      <w:bookmarkStart w:id="0" w:name="_Toc160105060"/>
      <w:bookmarkStart w:id="1" w:name="_Toc162453311"/>
      <w:bookmarkStart w:id="2" w:name="_Toc162453163"/>
      <w:bookmarkStart w:id="3" w:name="_Toc160105117"/>
      <w:bookmarkStart w:id="4" w:name="_Toc162453227"/>
      <w:bookmarkStart w:id="5" w:name="_Toc160094623"/>
      <w:bookmarkStart w:id="6" w:name="_Toc160094667"/>
      <w:bookmarkStart w:id="7" w:name="_Toc120614210"/>
      <w:bookmarkStart w:id="8" w:name="_Toc523127445"/>
      <w:bookmarkStart w:id="9" w:name="_Toc16938516"/>
      <w:bookmarkStart w:id="10" w:name="_Toc20823272"/>
      <w:bookmarkStart w:id="11" w:name="_Toc479757206"/>
      <w:bookmarkStart w:id="12" w:name="_Toc513029200"/>
      <w:r>
        <w:rPr>
          <w:rFonts w:hint="eastAsia" w:ascii="Times New Roman" w:hAnsi="Times New Roman"/>
          <w:b/>
          <w:bCs/>
          <w:sz w:val="40"/>
          <w:szCs w:val="40"/>
        </w:rPr>
        <w:t>目  录</w:t>
      </w:r>
      <w:bookmarkEnd w:id="0"/>
      <w:bookmarkEnd w:id="1"/>
      <w:bookmarkEnd w:id="2"/>
      <w:bookmarkEnd w:id="3"/>
      <w:bookmarkEnd w:id="4"/>
      <w:bookmarkEnd w:id="5"/>
      <w:bookmarkEnd w:id="6"/>
    </w:p>
    <w:p w14:paraId="7819749B">
      <w:pPr>
        <w:pStyle w:val="31"/>
        <w:tabs>
          <w:tab w:val="right" w:leader="dot" w:pos="8953"/>
        </w:tabs>
      </w:pPr>
      <w:r>
        <w:rPr>
          <w:rFonts w:ascii="宋体" w:hAnsi="宋体" w:cs="Times New Roman"/>
          <w:sz w:val="21"/>
          <w:szCs w:val="21"/>
        </w:rPr>
        <w:fldChar w:fldCharType="begin"/>
      </w:r>
      <w:r>
        <w:rPr>
          <w:rFonts w:ascii="宋体" w:hAnsi="宋体" w:cs="Times New Roman"/>
          <w:sz w:val="21"/>
          <w:szCs w:val="21"/>
        </w:rPr>
        <w:instrText xml:space="preserve"> TOC \o "1-3" \h \z \u </w:instrText>
      </w:r>
      <w:r>
        <w:rPr>
          <w:rFonts w:ascii="宋体" w:hAnsi="宋体" w:cs="Times New Roman"/>
          <w:sz w:val="21"/>
          <w:szCs w:val="21"/>
        </w:rPr>
        <w:fldChar w:fldCharType="separate"/>
      </w:r>
      <w:r>
        <w:fldChar w:fldCharType="begin"/>
      </w:r>
      <w:r>
        <w:instrText xml:space="preserve"> HYPERLINK \l "_Toc102" </w:instrText>
      </w:r>
      <w:r>
        <w:fldChar w:fldCharType="separate"/>
      </w:r>
      <w:r>
        <w:rPr>
          <w:rFonts w:ascii="Times New Roman" w:hAnsi="Times New Roman"/>
          <w:szCs w:val="44"/>
        </w:rPr>
        <w:t>第一章  磋商邀请</w:t>
      </w:r>
      <w:r>
        <w:tab/>
      </w:r>
      <w:r>
        <w:fldChar w:fldCharType="begin"/>
      </w:r>
      <w:r>
        <w:instrText xml:space="preserve"> PAGEREF _Toc102 \h </w:instrText>
      </w:r>
      <w:r>
        <w:fldChar w:fldCharType="separate"/>
      </w:r>
      <w:r>
        <w:t>3</w:t>
      </w:r>
      <w:r>
        <w:fldChar w:fldCharType="end"/>
      </w:r>
      <w:r>
        <w:fldChar w:fldCharType="end"/>
      </w:r>
    </w:p>
    <w:p w14:paraId="0069D4B4">
      <w:pPr>
        <w:pStyle w:val="22"/>
        <w:tabs>
          <w:tab w:val="right" w:leader="dot" w:pos="8953"/>
        </w:tabs>
      </w:pPr>
      <w:r>
        <w:fldChar w:fldCharType="begin"/>
      </w:r>
      <w:r>
        <w:instrText xml:space="preserve"> HYPERLINK \l "_Toc25662" </w:instrText>
      </w:r>
      <w:r>
        <w:fldChar w:fldCharType="separate"/>
      </w:r>
      <w:r>
        <w:rPr>
          <w:rFonts w:ascii="Times New Roman" w:hAnsi="Times New Roman"/>
          <w:bCs/>
          <w:szCs w:val="28"/>
        </w:rPr>
        <w:t>一、项目基本情况</w:t>
      </w:r>
      <w:r>
        <w:tab/>
      </w:r>
      <w:r>
        <w:fldChar w:fldCharType="begin"/>
      </w:r>
      <w:r>
        <w:instrText xml:space="preserve"> PAGEREF _Toc25662 \h </w:instrText>
      </w:r>
      <w:r>
        <w:fldChar w:fldCharType="separate"/>
      </w:r>
      <w:r>
        <w:t>3</w:t>
      </w:r>
      <w:r>
        <w:fldChar w:fldCharType="end"/>
      </w:r>
      <w:r>
        <w:fldChar w:fldCharType="end"/>
      </w:r>
    </w:p>
    <w:p w14:paraId="26C5950A">
      <w:pPr>
        <w:pStyle w:val="22"/>
        <w:tabs>
          <w:tab w:val="right" w:leader="dot" w:pos="8953"/>
        </w:tabs>
      </w:pPr>
      <w:r>
        <w:fldChar w:fldCharType="begin"/>
      </w:r>
      <w:r>
        <w:instrText xml:space="preserve"> HYPERLINK \l "_Toc27165" </w:instrText>
      </w:r>
      <w:r>
        <w:fldChar w:fldCharType="separate"/>
      </w:r>
      <w:r>
        <w:rPr>
          <w:rFonts w:ascii="Times New Roman" w:hAnsi="Times New Roman"/>
          <w:bCs/>
          <w:szCs w:val="28"/>
        </w:rPr>
        <w:t>二、申请人的资格要求：</w:t>
      </w:r>
      <w:r>
        <w:tab/>
      </w:r>
      <w:r>
        <w:fldChar w:fldCharType="begin"/>
      </w:r>
      <w:r>
        <w:instrText xml:space="preserve"> PAGEREF _Toc27165 \h </w:instrText>
      </w:r>
      <w:r>
        <w:fldChar w:fldCharType="separate"/>
      </w:r>
      <w:r>
        <w:t>4</w:t>
      </w:r>
      <w:r>
        <w:fldChar w:fldCharType="end"/>
      </w:r>
      <w:r>
        <w:fldChar w:fldCharType="end"/>
      </w:r>
    </w:p>
    <w:p w14:paraId="4F80B269">
      <w:pPr>
        <w:pStyle w:val="22"/>
        <w:tabs>
          <w:tab w:val="right" w:leader="dot" w:pos="8953"/>
        </w:tabs>
      </w:pPr>
      <w:r>
        <w:fldChar w:fldCharType="begin"/>
      </w:r>
      <w:r>
        <w:instrText xml:space="preserve"> HYPERLINK \l "_Toc3580" </w:instrText>
      </w:r>
      <w:r>
        <w:fldChar w:fldCharType="separate"/>
      </w:r>
      <w:r>
        <w:rPr>
          <w:rFonts w:ascii="Times New Roman" w:hAnsi="Times New Roman"/>
          <w:bCs/>
          <w:szCs w:val="28"/>
        </w:rPr>
        <w:t>三、获取磋商文件</w:t>
      </w:r>
      <w:r>
        <w:tab/>
      </w:r>
      <w:r>
        <w:fldChar w:fldCharType="begin"/>
      </w:r>
      <w:r>
        <w:instrText xml:space="preserve"> PAGEREF _Toc3580 \h </w:instrText>
      </w:r>
      <w:r>
        <w:fldChar w:fldCharType="separate"/>
      </w:r>
      <w:r>
        <w:t>4</w:t>
      </w:r>
      <w:r>
        <w:fldChar w:fldCharType="end"/>
      </w:r>
      <w:r>
        <w:fldChar w:fldCharType="end"/>
      </w:r>
    </w:p>
    <w:p w14:paraId="2E4E85A9">
      <w:pPr>
        <w:pStyle w:val="22"/>
        <w:tabs>
          <w:tab w:val="right" w:leader="dot" w:pos="8953"/>
        </w:tabs>
      </w:pPr>
      <w:r>
        <w:fldChar w:fldCharType="begin"/>
      </w:r>
      <w:r>
        <w:instrText xml:space="preserve"> HYPERLINK \l "_Toc25818" </w:instrText>
      </w:r>
      <w:r>
        <w:fldChar w:fldCharType="separate"/>
      </w:r>
      <w:r>
        <w:rPr>
          <w:rFonts w:ascii="Times New Roman" w:hAnsi="Times New Roman"/>
          <w:bCs/>
          <w:szCs w:val="28"/>
        </w:rPr>
        <w:t>四、提交响应文件截止时间</w:t>
      </w:r>
      <w:r>
        <w:tab/>
      </w:r>
      <w:r>
        <w:fldChar w:fldCharType="begin"/>
      </w:r>
      <w:r>
        <w:instrText xml:space="preserve"> PAGEREF _Toc25818 \h </w:instrText>
      </w:r>
      <w:r>
        <w:fldChar w:fldCharType="separate"/>
      </w:r>
      <w:r>
        <w:t>4</w:t>
      </w:r>
      <w:r>
        <w:fldChar w:fldCharType="end"/>
      </w:r>
      <w:r>
        <w:fldChar w:fldCharType="end"/>
      </w:r>
    </w:p>
    <w:p w14:paraId="59673315">
      <w:pPr>
        <w:pStyle w:val="22"/>
        <w:tabs>
          <w:tab w:val="right" w:leader="dot" w:pos="8953"/>
        </w:tabs>
      </w:pPr>
      <w:r>
        <w:fldChar w:fldCharType="begin"/>
      </w:r>
      <w:r>
        <w:instrText xml:space="preserve"> HYPERLINK \l "_Toc12285" </w:instrText>
      </w:r>
      <w:r>
        <w:fldChar w:fldCharType="separate"/>
      </w:r>
      <w:r>
        <w:rPr>
          <w:rFonts w:ascii="Times New Roman" w:hAnsi="Times New Roman"/>
          <w:bCs/>
          <w:szCs w:val="28"/>
        </w:rPr>
        <w:t>五、公告期限</w:t>
      </w:r>
      <w:r>
        <w:tab/>
      </w:r>
      <w:r>
        <w:fldChar w:fldCharType="begin"/>
      </w:r>
      <w:r>
        <w:instrText xml:space="preserve"> PAGEREF _Toc12285 \h </w:instrText>
      </w:r>
      <w:r>
        <w:fldChar w:fldCharType="separate"/>
      </w:r>
      <w:r>
        <w:t>4</w:t>
      </w:r>
      <w:r>
        <w:fldChar w:fldCharType="end"/>
      </w:r>
      <w:r>
        <w:fldChar w:fldCharType="end"/>
      </w:r>
    </w:p>
    <w:p w14:paraId="03359585">
      <w:pPr>
        <w:pStyle w:val="22"/>
        <w:tabs>
          <w:tab w:val="right" w:leader="dot" w:pos="8953"/>
        </w:tabs>
      </w:pPr>
      <w:r>
        <w:fldChar w:fldCharType="begin"/>
      </w:r>
      <w:r>
        <w:instrText xml:space="preserve"> HYPERLINK \l "_Toc22993" </w:instrText>
      </w:r>
      <w:r>
        <w:fldChar w:fldCharType="separate"/>
      </w:r>
      <w:r>
        <w:rPr>
          <w:rFonts w:ascii="Times New Roman" w:hAnsi="Times New Roman"/>
          <w:bCs/>
          <w:szCs w:val="28"/>
        </w:rPr>
        <w:t>六、其他补充事宜</w:t>
      </w:r>
      <w:r>
        <w:tab/>
      </w:r>
      <w:r>
        <w:fldChar w:fldCharType="begin"/>
      </w:r>
      <w:r>
        <w:instrText xml:space="preserve"> PAGEREF _Toc22993 \h </w:instrText>
      </w:r>
      <w:r>
        <w:fldChar w:fldCharType="separate"/>
      </w:r>
      <w:r>
        <w:t>5</w:t>
      </w:r>
      <w:r>
        <w:fldChar w:fldCharType="end"/>
      </w:r>
      <w:r>
        <w:fldChar w:fldCharType="end"/>
      </w:r>
    </w:p>
    <w:p w14:paraId="5C78E30C">
      <w:pPr>
        <w:pStyle w:val="22"/>
        <w:tabs>
          <w:tab w:val="right" w:leader="dot" w:pos="8953"/>
        </w:tabs>
      </w:pPr>
      <w:r>
        <w:fldChar w:fldCharType="begin"/>
      </w:r>
      <w:r>
        <w:instrText xml:space="preserve"> HYPERLINK \l "_Toc2896" </w:instrText>
      </w:r>
      <w:r>
        <w:fldChar w:fldCharType="separate"/>
      </w:r>
      <w:r>
        <w:rPr>
          <w:rFonts w:ascii="Times New Roman" w:hAnsi="Times New Roman"/>
          <w:bCs/>
          <w:szCs w:val="28"/>
        </w:rPr>
        <w:t>七、本次磋商联系方式</w:t>
      </w:r>
      <w:r>
        <w:tab/>
      </w:r>
      <w:r>
        <w:fldChar w:fldCharType="begin"/>
      </w:r>
      <w:r>
        <w:instrText xml:space="preserve"> PAGEREF _Toc2896 \h </w:instrText>
      </w:r>
      <w:r>
        <w:fldChar w:fldCharType="separate"/>
      </w:r>
      <w:r>
        <w:t>5</w:t>
      </w:r>
      <w:r>
        <w:fldChar w:fldCharType="end"/>
      </w:r>
      <w:r>
        <w:fldChar w:fldCharType="end"/>
      </w:r>
    </w:p>
    <w:p w14:paraId="4B1C1D3A">
      <w:pPr>
        <w:pStyle w:val="22"/>
        <w:tabs>
          <w:tab w:val="right" w:leader="dot" w:pos="8953"/>
        </w:tabs>
      </w:pPr>
      <w:r>
        <w:fldChar w:fldCharType="begin"/>
      </w:r>
      <w:r>
        <w:instrText xml:space="preserve"> HYPERLINK \l "_Toc14289" </w:instrText>
      </w:r>
      <w:r>
        <w:fldChar w:fldCharType="separate"/>
      </w:r>
      <w:r>
        <w:rPr>
          <w:rFonts w:ascii="Times New Roman" w:hAnsi="Times New Roman"/>
          <w:bCs/>
          <w:szCs w:val="28"/>
        </w:rPr>
        <w:t>八、其他</w:t>
      </w:r>
      <w:r>
        <w:tab/>
      </w:r>
      <w:r>
        <w:fldChar w:fldCharType="begin"/>
      </w:r>
      <w:r>
        <w:instrText xml:space="preserve"> PAGEREF _Toc14289 \h </w:instrText>
      </w:r>
      <w:r>
        <w:fldChar w:fldCharType="separate"/>
      </w:r>
      <w:r>
        <w:t>5</w:t>
      </w:r>
      <w:r>
        <w:fldChar w:fldCharType="end"/>
      </w:r>
      <w:r>
        <w:fldChar w:fldCharType="end"/>
      </w:r>
    </w:p>
    <w:p w14:paraId="5E0D2628">
      <w:pPr>
        <w:pStyle w:val="31"/>
        <w:tabs>
          <w:tab w:val="right" w:leader="dot" w:pos="8953"/>
        </w:tabs>
      </w:pPr>
      <w:r>
        <w:fldChar w:fldCharType="begin"/>
      </w:r>
      <w:r>
        <w:instrText xml:space="preserve"> HYPERLINK \l "_Toc17792" </w:instrText>
      </w:r>
      <w:r>
        <w:fldChar w:fldCharType="separate"/>
      </w:r>
      <w:r>
        <w:rPr>
          <w:rFonts w:ascii="Times New Roman" w:hAnsi="Times New Roman"/>
          <w:szCs w:val="44"/>
        </w:rPr>
        <w:t>第二章  供应商须知</w:t>
      </w:r>
      <w:r>
        <w:tab/>
      </w:r>
      <w:r>
        <w:fldChar w:fldCharType="begin"/>
      </w:r>
      <w:r>
        <w:instrText xml:space="preserve"> PAGEREF _Toc17792 \h </w:instrText>
      </w:r>
      <w:r>
        <w:fldChar w:fldCharType="separate"/>
      </w:r>
      <w:r>
        <w:t>6</w:t>
      </w:r>
      <w:r>
        <w:fldChar w:fldCharType="end"/>
      </w:r>
      <w:r>
        <w:fldChar w:fldCharType="end"/>
      </w:r>
    </w:p>
    <w:p w14:paraId="02505359">
      <w:pPr>
        <w:pStyle w:val="22"/>
        <w:tabs>
          <w:tab w:val="right" w:leader="dot" w:pos="8953"/>
        </w:tabs>
      </w:pPr>
      <w:r>
        <w:fldChar w:fldCharType="begin"/>
      </w:r>
      <w:r>
        <w:instrText xml:space="preserve"> HYPERLINK \l "_Toc8273" </w:instrText>
      </w:r>
      <w:r>
        <w:fldChar w:fldCharType="separate"/>
      </w:r>
      <w:r>
        <w:rPr>
          <w:rFonts w:ascii="Times New Roman" w:hAnsi="Times New Roman"/>
          <w:bCs/>
          <w:szCs w:val="32"/>
        </w:rPr>
        <w:t>一、总则</w:t>
      </w:r>
      <w:r>
        <w:tab/>
      </w:r>
      <w:r>
        <w:fldChar w:fldCharType="begin"/>
      </w:r>
      <w:r>
        <w:instrText xml:space="preserve"> PAGEREF _Toc8273 \h </w:instrText>
      </w:r>
      <w:r>
        <w:fldChar w:fldCharType="separate"/>
      </w:r>
      <w:r>
        <w:t>6</w:t>
      </w:r>
      <w:r>
        <w:fldChar w:fldCharType="end"/>
      </w:r>
      <w:r>
        <w:fldChar w:fldCharType="end"/>
      </w:r>
    </w:p>
    <w:p w14:paraId="51430B0D">
      <w:pPr>
        <w:pStyle w:val="22"/>
        <w:tabs>
          <w:tab w:val="right" w:leader="dot" w:pos="8953"/>
        </w:tabs>
      </w:pPr>
      <w:r>
        <w:fldChar w:fldCharType="begin"/>
      </w:r>
      <w:r>
        <w:instrText xml:space="preserve"> HYPERLINK \l "_Toc3060" </w:instrText>
      </w:r>
      <w:r>
        <w:fldChar w:fldCharType="separate"/>
      </w:r>
      <w:r>
        <w:rPr>
          <w:rFonts w:ascii="Times New Roman" w:hAnsi="Times New Roman"/>
          <w:bCs/>
          <w:szCs w:val="32"/>
        </w:rPr>
        <w:t>二、磋商文件</w:t>
      </w:r>
      <w:r>
        <w:tab/>
      </w:r>
      <w:r>
        <w:fldChar w:fldCharType="begin"/>
      </w:r>
      <w:r>
        <w:instrText xml:space="preserve"> PAGEREF _Toc3060 \h </w:instrText>
      </w:r>
      <w:r>
        <w:fldChar w:fldCharType="separate"/>
      </w:r>
      <w:r>
        <w:t>6</w:t>
      </w:r>
      <w:r>
        <w:fldChar w:fldCharType="end"/>
      </w:r>
      <w:r>
        <w:fldChar w:fldCharType="end"/>
      </w:r>
    </w:p>
    <w:p w14:paraId="2F0722EF">
      <w:pPr>
        <w:pStyle w:val="22"/>
        <w:tabs>
          <w:tab w:val="right" w:leader="dot" w:pos="8953"/>
        </w:tabs>
      </w:pPr>
      <w:r>
        <w:fldChar w:fldCharType="begin"/>
      </w:r>
      <w:r>
        <w:instrText xml:space="preserve"> HYPERLINK \l "_Toc32185" </w:instrText>
      </w:r>
      <w:r>
        <w:fldChar w:fldCharType="separate"/>
      </w:r>
      <w:r>
        <w:rPr>
          <w:rFonts w:ascii="Times New Roman" w:hAnsi="Times New Roman"/>
          <w:bCs/>
          <w:szCs w:val="32"/>
        </w:rPr>
        <w:t>三、响应文件的编制</w:t>
      </w:r>
      <w:r>
        <w:tab/>
      </w:r>
      <w:r>
        <w:fldChar w:fldCharType="begin"/>
      </w:r>
      <w:r>
        <w:instrText xml:space="preserve"> PAGEREF _Toc32185 \h </w:instrText>
      </w:r>
      <w:r>
        <w:fldChar w:fldCharType="separate"/>
      </w:r>
      <w:r>
        <w:t>8</w:t>
      </w:r>
      <w:r>
        <w:fldChar w:fldCharType="end"/>
      </w:r>
      <w:r>
        <w:fldChar w:fldCharType="end"/>
      </w:r>
    </w:p>
    <w:p w14:paraId="2DF1E27A">
      <w:pPr>
        <w:pStyle w:val="22"/>
        <w:tabs>
          <w:tab w:val="right" w:leader="dot" w:pos="8953"/>
        </w:tabs>
      </w:pPr>
      <w:r>
        <w:fldChar w:fldCharType="begin"/>
      </w:r>
      <w:r>
        <w:instrText xml:space="preserve"> HYPERLINK \l "_Toc20363" </w:instrText>
      </w:r>
      <w:r>
        <w:fldChar w:fldCharType="separate"/>
      </w:r>
      <w:r>
        <w:rPr>
          <w:rFonts w:ascii="Times New Roman" w:hAnsi="Times New Roman"/>
          <w:bCs/>
          <w:szCs w:val="32"/>
        </w:rPr>
        <w:t>四、响应文件的递交</w:t>
      </w:r>
      <w:r>
        <w:tab/>
      </w:r>
      <w:r>
        <w:fldChar w:fldCharType="begin"/>
      </w:r>
      <w:r>
        <w:instrText xml:space="preserve"> PAGEREF _Toc20363 \h </w:instrText>
      </w:r>
      <w:r>
        <w:fldChar w:fldCharType="separate"/>
      </w:r>
      <w:r>
        <w:t>10</w:t>
      </w:r>
      <w:r>
        <w:fldChar w:fldCharType="end"/>
      </w:r>
      <w:r>
        <w:fldChar w:fldCharType="end"/>
      </w:r>
    </w:p>
    <w:p w14:paraId="365793A9">
      <w:pPr>
        <w:pStyle w:val="22"/>
        <w:tabs>
          <w:tab w:val="right" w:leader="dot" w:pos="8953"/>
        </w:tabs>
      </w:pPr>
      <w:r>
        <w:fldChar w:fldCharType="begin"/>
      </w:r>
      <w:r>
        <w:instrText xml:space="preserve"> HYPERLINK \l "_Toc21794" </w:instrText>
      </w:r>
      <w:r>
        <w:fldChar w:fldCharType="separate"/>
      </w:r>
      <w:r>
        <w:rPr>
          <w:rFonts w:ascii="Times New Roman" w:hAnsi="Times New Roman"/>
          <w:bCs/>
          <w:szCs w:val="32"/>
        </w:rPr>
        <w:t>五、响应文件的解密与评审</w:t>
      </w:r>
      <w:r>
        <w:tab/>
      </w:r>
      <w:r>
        <w:fldChar w:fldCharType="begin"/>
      </w:r>
      <w:r>
        <w:instrText xml:space="preserve"> PAGEREF _Toc21794 \h </w:instrText>
      </w:r>
      <w:r>
        <w:fldChar w:fldCharType="separate"/>
      </w:r>
      <w:r>
        <w:t>11</w:t>
      </w:r>
      <w:r>
        <w:fldChar w:fldCharType="end"/>
      </w:r>
      <w:r>
        <w:fldChar w:fldCharType="end"/>
      </w:r>
    </w:p>
    <w:p w14:paraId="189AB25D">
      <w:pPr>
        <w:pStyle w:val="22"/>
        <w:tabs>
          <w:tab w:val="right" w:leader="dot" w:pos="8953"/>
        </w:tabs>
      </w:pPr>
      <w:r>
        <w:fldChar w:fldCharType="begin"/>
      </w:r>
      <w:r>
        <w:instrText xml:space="preserve"> HYPERLINK \l "_Toc16873" </w:instrText>
      </w:r>
      <w:r>
        <w:fldChar w:fldCharType="separate"/>
      </w:r>
      <w:r>
        <w:rPr>
          <w:rFonts w:ascii="Times New Roman" w:hAnsi="Times New Roman"/>
          <w:bCs/>
          <w:szCs w:val="32"/>
        </w:rPr>
        <w:t>六、成交</w:t>
      </w:r>
      <w:r>
        <w:tab/>
      </w:r>
      <w:r>
        <w:fldChar w:fldCharType="begin"/>
      </w:r>
      <w:r>
        <w:instrText xml:space="preserve"> PAGEREF _Toc16873 \h </w:instrText>
      </w:r>
      <w:r>
        <w:fldChar w:fldCharType="separate"/>
      </w:r>
      <w:r>
        <w:t>19</w:t>
      </w:r>
      <w:r>
        <w:fldChar w:fldCharType="end"/>
      </w:r>
      <w:r>
        <w:fldChar w:fldCharType="end"/>
      </w:r>
    </w:p>
    <w:p w14:paraId="5B401C31">
      <w:pPr>
        <w:pStyle w:val="22"/>
        <w:tabs>
          <w:tab w:val="right" w:leader="dot" w:pos="8953"/>
        </w:tabs>
      </w:pPr>
      <w:r>
        <w:fldChar w:fldCharType="begin"/>
      </w:r>
      <w:r>
        <w:instrText xml:space="preserve"> HYPERLINK \l "_Toc30432" </w:instrText>
      </w:r>
      <w:r>
        <w:fldChar w:fldCharType="separate"/>
      </w:r>
      <w:r>
        <w:rPr>
          <w:rFonts w:ascii="Times New Roman" w:hAnsi="Times New Roman"/>
          <w:bCs/>
          <w:szCs w:val="32"/>
        </w:rPr>
        <w:t>七、授予合同</w:t>
      </w:r>
      <w:r>
        <w:tab/>
      </w:r>
      <w:r>
        <w:fldChar w:fldCharType="begin"/>
      </w:r>
      <w:r>
        <w:instrText xml:space="preserve"> PAGEREF _Toc30432 \h </w:instrText>
      </w:r>
      <w:r>
        <w:fldChar w:fldCharType="separate"/>
      </w:r>
      <w:r>
        <w:t>22</w:t>
      </w:r>
      <w:r>
        <w:fldChar w:fldCharType="end"/>
      </w:r>
      <w:r>
        <w:fldChar w:fldCharType="end"/>
      </w:r>
    </w:p>
    <w:p w14:paraId="75AC525F">
      <w:pPr>
        <w:pStyle w:val="31"/>
        <w:tabs>
          <w:tab w:val="right" w:leader="dot" w:pos="8953"/>
        </w:tabs>
      </w:pPr>
      <w:r>
        <w:fldChar w:fldCharType="begin"/>
      </w:r>
      <w:r>
        <w:instrText xml:space="preserve"> HYPERLINK \l "_Toc19018" </w:instrText>
      </w:r>
      <w:r>
        <w:fldChar w:fldCharType="separate"/>
      </w:r>
      <w:r>
        <w:rPr>
          <w:rFonts w:ascii="Times New Roman" w:hAnsi="Times New Roman"/>
          <w:szCs w:val="44"/>
        </w:rPr>
        <w:t>第三章  合同文本</w:t>
      </w:r>
      <w:r>
        <w:tab/>
      </w:r>
      <w:r>
        <w:fldChar w:fldCharType="begin"/>
      </w:r>
      <w:r>
        <w:instrText xml:space="preserve"> PAGEREF _Toc19018 \h </w:instrText>
      </w:r>
      <w:r>
        <w:fldChar w:fldCharType="separate"/>
      </w:r>
      <w:r>
        <w:t>26</w:t>
      </w:r>
      <w:r>
        <w:fldChar w:fldCharType="end"/>
      </w:r>
      <w:r>
        <w:fldChar w:fldCharType="end"/>
      </w:r>
    </w:p>
    <w:p w14:paraId="430EA053">
      <w:pPr>
        <w:pStyle w:val="31"/>
        <w:tabs>
          <w:tab w:val="right" w:leader="dot" w:pos="8953"/>
        </w:tabs>
      </w:pPr>
      <w:r>
        <w:fldChar w:fldCharType="begin"/>
      </w:r>
      <w:r>
        <w:instrText xml:space="preserve"> HYPERLINK \l "_Toc3217" </w:instrText>
      </w:r>
      <w:r>
        <w:fldChar w:fldCharType="separate"/>
      </w:r>
      <w:r>
        <w:rPr>
          <w:rFonts w:ascii="Times New Roman" w:hAnsi="Times New Roman"/>
          <w:szCs w:val="44"/>
        </w:rPr>
        <w:t>第五章  评审方法与评审标准</w:t>
      </w:r>
      <w:r>
        <w:tab/>
      </w:r>
      <w:r>
        <w:fldChar w:fldCharType="begin"/>
      </w:r>
      <w:r>
        <w:instrText xml:space="preserve"> PAGEREF _Toc3217 \h </w:instrText>
      </w:r>
      <w:r>
        <w:fldChar w:fldCharType="separate"/>
      </w:r>
      <w:r>
        <w:t>39</w:t>
      </w:r>
      <w:r>
        <w:fldChar w:fldCharType="end"/>
      </w:r>
      <w:r>
        <w:fldChar w:fldCharType="end"/>
      </w:r>
    </w:p>
    <w:p w14:paraId="788E10DD">
      <w:pPr>
        <w:pStyle w:val="31"/>
        <w:tabs>
          <w:tab w:val="right" w:leader="dot" w:pos="8953"/>
        </w:tabs>
      </w:pPr>
      <w:r>
        <w:fldChar w:fldCharType="begin"/>
      </w:r>
      <w:r>
        <w:instrText xml:space="preserve"> HYPERLINK \l "_Toc5594" </w:instrText>
      </w:r>
      <w:r>
        <w:fldChar w:fldCharType="separate"/>
      </w:r>
      <w:r>
        <w:rPr>
          <w:rFonts w:ascii="Times New Roman" w:hAnsi="Times New Roman"/>
          <w:szCs w:val="44"/>
        </w:rPr>
        <w:t>第六章  响应文件格式</w:t>
      </w:r>
      <w:r>
        <w:tab/>
      </w:r>
      <w:r>
        <w:fldChar w:fldCharType="begin"/>
      </w:r>
      <w:r>
        <w:instrText xml:space="preserve"> PAGEREF _Toc5594 \h </w:instrText>
      </w:r>
      <w:r>
        <w:fldChar w:fldCharType="separate"/>
      </w:r>
      <w:r>
        <w:t>46</w:t>
      </w:r>
      <w:r>
        <w:fldChar w:fldCharType="end"/>
      </w:r>
      <w:r>
        <w:fldChar w:fldCharType="end"/>
      </w:r>
    </w:p>
    <w:p w14:paraId="43553EB9">
      <w:pPr>
        <w:pStyle w:val="39"/>
        <w:tabs>
          <w:tab w:val="right" w:leader="dot" w:pos="8953"/>
        </w:tabs>
      </w:pPr>
      <w:r>
        <w:fldChar w:fldCharType="begin"/>
      </w:r>
      <w:r>
        <w:instrText xml:space="preserve"> HYPERLINK \l "_Toc14481" </w:instrText>
      </w:r>
      <w:r>
        <w:fldChar w:fldCharType="separate"/>
      </w:r>
      <w:r>
        <w:rPr>
          <w:rFonts w:hint="eastAsia" w:ascii="宋体" w:hAnsi="宋体" w:cs="宋体"/>
          <w:iCs/>
          <w:szCs w:val="32"/>
        </w:rPr>
        <w:t>一、磋商申请及声明</w:t>
      </w:r>
      <w:r>
        <w:tab/>
      </w:r>
      <w:r>
        <w:fldChar w:fldCharType="begin"/>
      </w:r>
      <w:r>
        <w:instrText xml:space="preserve"> PAGEREF _Toc14481 \h </w:instrText>
      </w:r>
      <w:r>
        <w:fldChar w:fldCharType="separate"/>
      </w:r>
      <w:r>
        <w:t>48</w:t>
      </w:r>
      <w:r>
        <w:fldChar w:fldCharType="end"/>
      </w:r>
      <w:r>
        <w:fldChar w:fldCharType="end"/>
      </w:r>
    </w:p>
    <w:p w14:paraId="65D01DBE">
      <w:pPr>
        <w:pStyle w:val="39"/>
        <w:tabs>
          <w:tab w:val="right" w:leader="dot" w:pos="8953"/>
        </w:tabs>
      </w:pPr>
      <w:r>
        <w:fldChar w:fldCharType="begin"/>
      </w:r>
      <w:r>
        <w:instrText xml:space="preserve"> HYPERLINK \l "_Toc18405" </w:instrText>
      </w:r>
      <w:r>
        <w:fldChar w:fldCharType="separate"/>
      </w:r>
      <w:r>
        <w:rPr>
          <w:rFonts w:hint="eastAsia" w:ascii="宋体" w:hAnsi="宋体" w:cs="宋体"/>
          <w:iCs/>
          <w:szCs w:val="32"/>
        </w:rPr>
        <w:t>二、供应商基本信息</w:t>
      </w:r>
      <w:r>
        <w:tab/>
      </w:r>
      <w:r>
        <w:fldChar w:fldCharType="begin"/>
      </w:r>
      <w:r>
        <w:instrText xml:space="preserve"> PAGEREF _Toc18405 \h </w:instrText>
      </w:r>
      <w:r>
        <w:fldChar w:fldCharType="separate"/>
      </w:r>
      <w:r>
        <w:t>49</w:t>
      </w:r>
      <w:r>
        <w:fldChar w:fldCharType="end"/>
      </w:r>
      <w:r>
        <w:fldChar w:fldCharType="end"/>
      </w:r>
    </w:p>
    <w:p w14:paraId="17F8E54C">
      <w:pPr>
        <w:pStyle w:val="39"/>
        <w:tabs>
          <w:tab w:val="right" w:leader="dot" w:pos="8953"/>
        </w:tabs>
      </w:pPr>
      <w:r>
        <w:fldChar w:fldCharType="begin"/>
      </w:r>
      <w:r>
        <w:instrText xml:space="preserve"> HYPERLINK \l "_Toc23029" </w:instrText>
      </w:r>
      <w:r>
        <w:fldChar w:fldCharType="separate"/>
      </w:r>
      <w:r>
        <w:rPr>
          <w:rFonts w:hint="eastAsia" w:ascii="宋体" w:hAnsi="宋体" w:cs="宋体"/>
          <w:iCs/>
          <w:szCs w:val="32"/>
        </w:rPr>
        <w:t>三、特定资格要求的证明文件</w:t>
      </w:r>
      <w:r>
        <w:tab/>
      </w:r>
      <w:r>
        <w:fldChar w:fldCharType="begin"/>
      </w:r>
      <w:r>
        <w:instrText xml:space="preserve"> PAGEREF _Toc23029 \h </w:instrText>
      </w:r>
      <w:r>
        <w:fldChar w:fldCharType="separate"/>
      </w:r>
      <w:r>
        <w:t>50</w:t>
      </w:r>
      <w:r>
        <w:fldChar w:fldCharType="end"/>
      </w:r>
      <w:r>
        <w:fldChar w:fldCharType="end"/>
      </w:r>
    </w:p>
    <w:p w14:paraId="59D46A53">
      <w:pPr>
        <w:pStyle w:val="39"/>
        <w:tabs>
          <w:tab w:val="right" w:leader="dot" w:pos="8953"/>
        </w:tabs>
      </w:pPr>
      <w:r>
        <w:fldChar w:fldCharType="begin"/>
      </w:r>
      <w:r>
        <w:instrText xml:space="preserve"> HYPERLINK \l "_Toc12370" </w:instrText>
      </w:r>
      <w:r>
        <w:fldChar w:fldCharType="separate"/>
      </w:r>
      <w:r>
        <w:rPr>
          <w:rFonts w:hint="eastAsia" w:ascii="宋体" w:hAnsi="宋体" w:cs="宋体"/>
          <w:iCs/>
          <w:szCs w:val="32"/>
        </w:rPr>
        <w:t>四、法人授权书</w:t>
      </w:r>
      <w:r>
        <w:tab/>
      </w:r>
      <w:r>
        <w:fldChar w:fldCharType="begin"/>
      </w:r>
      <w:r>
        <w:instrText xml:space="preserve"> PAGEREF _Toc12370 \h </w:instrText>
      </w:r>
      <w:r>
        <w:fldChar w:fldCharType="separate"/>
      </w:r>
      <w:r>
        <w:t>51</w:t>
      </w:r>
      <w:r>
        <w:fldChar w:fldCharType="end"/>
      </w:r>
      <w:r>
        <w:fldChar w:fldCharType="end"/>
      </w:r>
    </w:p>
    <w:p w14:paraId="32520DA0">
      <w:pPr>
        <w:pStyle w:val="39"/>
        <w:tabs>
          <w:tab w:val="right" w:leader="dot" w:pos="8953"/>
        </w:tabs>
      </w:pPr>
      <w:r>
        <w:fldChar w:fldCharType="begin"/>
      </w:r>
      <w:r>
        <w:instrText xml:space="preserve"> HYPERLINK \l "_Toc24960" </w:instrText>
      </w:r>
      <w:r>
        <w:fldChar w:fldCharType="separate"/>
      </w:r>
      <w:r>
        <w:rPr>
          <w:rFonts w:hint="eastAsia" w:ascii="宋体" w:hAnsi="宋体" w:cs="宋体"/>
          <w:iCs/>
          <w:szCs w:val="32"/>
        </w:rPr>
        <w:t>五、中小（微）企业声明函（服务）</w:t>
      </w:r>
      <w:r>
        <w:tab/>
      </w:r>
      <w:r>
        <w:fldChar w:fldCharType="begin"/>
      </w:r>
      <w:r>
        <w:instrText xml:space="preserve"> PAGEREF _Toc24960 \h </w:instrText>
      </w:r>
      <w:r>
        <w:fldChar w:fldCharType="separate"/>
      </w:r>
      <w:r>
        <w:t>52</w:t>
      </w:r>
      <w:r>
        <w:fldChar w:fldCharType="end"/>
      </w:r>
      <w:r>
        <w:fldChar w:fldCharType="end"/>
      </w:r>
    </w:p>
    <w:p w14:paraId="522D3D8C">
      <w:pPr>
        <w:pStyle w:val="39"/>
        <w:tabs>
          <w:tab w:val="right" w:leader="dot" w:pos="8953"/>
        </w:tabs>
      </w:pPr>
      <w:r>
        <w:fldChar w:fldCharType="begin"/>
      </w:r>
      <w:r>
        <w:instrText xml:space="preserve"> HYPERLINK \l "_Toc25428" </w:instrText>
      </w:r>
      <w:r>
        <w:fldChar w:fldCharType="separate"/>
      </w:r>
      <w:r>
        <w:rPr>
          <w:rFonts w:hint="eastAsia" w:ascii="宋体" w:hAnsi="宋体" w:cs="宋体"/>
          <w:iCs/>
          <w:szCs w:val="32"/>
        </w:rPr>
        <w:t>六、磋商报价表</w:t>
      </w:r>
      <w:r>
        <w:tab/>
      </w:r>
      <w:r>
        <w:fldChar w:fldCharType="begin"/>
      </w:r>
      <w:r>
        <w:instrText xml:space="preserve"> PAGEREF _Toc25428 \h </w:instrText>
      </w:r>
      <w:r>
        <w:fldChar w:fldCharType="separate"/>
      </w:r>
      <w:r>
        <w:t>54</w:t>
      </w:r>
      <w:r>
        <w:fldChar w:fldCharType="end"/>
      </w:r>
      <w:r>
        <w:fldChar w:fldCharType="end"/>
      </w:r>
    </w:p>
    <w:p w14:paraId="7471C566">
      <w:pPr>
        <w:pStyle w:val="39"/>
        <w:tabs>
          <w:tab w:val="right" w:leader="dot" w:pos="8953"/>
        </w:tabs>
      </w:pPr>
      <w:r>
        <w:fldChar w:fldCharType="begin"/>
      </w:r>
      <w:r>
        <w:instrText xml:space="preserve"> HYPERLINK \l "_Toc18228" </w:instrText>
      </w:r>
      <w:r>
        <w:fldChar w:fldCharType="separate"/>
      </w:r>
      <w:r>
        <w:rPr>
          <w:rFonts w:hint="eastAsia" w:ascii="宋体" w:hAnsi="宋体" w:cs="宋体"/>
          <w:iCs/>
          <w:szCs w:val="32"/>
        </w:rPr>
        <w:t>七、分项报价表（服务类）</w:t>
      </w:r>
      <w:r>
        <w:tab/>
      </w:r>
      <w:r>
        <w:fldChar w:fldCharType="begin"/>
      </w:r>
      <w:r>
        <w:instrText xml:space="preserve"> PAGEREF _Toc18228 \h </w:instrText>
      </w:r>
      <w:r>
        <w:fldChar w:fldCharType="separate"/>
      </w:r>
      <w:r>
        <w:t>55</w:t>
      </w:r>
      <w:r>
        <w:fldChar w:fldCharType="end"/>
      </w:r>
      <w:r>
        <w:fldChar w:fldCharType="end"/>
      </w:r>
    </w:p>
    <w:p w14:paraId="0790E1E9">
      <w:pPr>
        <w:pStyle w:val="39"/>
        <w:tabs>
          <w:tab w:val="right" w:leader="dot" w:pos="8953"/>
        </w:tabs>
      </w:pPr>
      <w:r>
        <w:fldChar w:fldCharType="begin"/>
      </w:r>
      <w:r>
        <w:instrText xml:space="preserve"> HYPERLINK \l "_Toc9005" </w:instrText>
      </w:r>
      <w:r>
        <w:fldChar w:fldCharType="separate"/>
      </w:r>
      <w:r>
        <w:rPr>
          <w:rFonts w:hint="eastAsia" w:ascii="宋体" w:hAnsi="宋体" w:cs="宋体"/>
          <w:iCs/>
          <w:szCs w:val="32"/>
        </w:rPr>
        <w:t>八、技术要求响应及偏离表</w:t>
      </w:r>
      <w:r>
        <w:tab/>
      </w:r>
      <w:r>
        <w:fldChar w:fldCharType="begin"/>
      </w:r>
      <w:r>
        <w:instrText xml:space="preserve"> PAGEREF _Toc9005 \h </w:instrText>
      </w:r>
      <w:r>
        <w:fldChar w:fldCharType="separate"/>
      </w:r>
      <w:r>
        <w:t>56</w:t>
      </w:r>
      <w:r>
        <w:fldChar w:fldCharType="end"/>
      </w:r>
      <w:r>
        <w:fldChar w:fldCharType="end"/>
      </w:r>
    </w:p>
    <w:p w14:paraId="4E183C69">
      <w:pPr>
        <w:pStyle w:val="39"/>
        <w:tabs>
          <w:tab w:val="right" w:leader="dot" w:pos="8953"/>
        </w:tabs>
      </w:pPr>
      <w:r>
        <w:fldChar w:fldCharType="begin"/>
      </w:r>
      <w:r>
        <w:instrText xml:space="preserve"> HYPERLINK \l "_Toc28007" </w:instrText>
      </w:r>
      <w:r>
        <w:fldChar w:fldCharType="separate"/>
      </w:r>
      <w:r>
        <w:rPr>
          <w:rFonts w:hint="eastAsia" w:ascii="宋体" w:hAnsi="宋体" w:cs="宋体"/>
          <w:iCs/>
          <w:szCs w:val="32"/>
        </w:rPr>
        <w:t>九、商务要求响应及偏离表</w:t>
      </w:r>
      <w:r>
        <w:tab/>
      </w:r>
      <w:r>
        <w:fldChar w:fldCharType="begin"/>
      </w:r>
      <w:r>
        <w:instrText xml:space="preserve"> PAGEREF _Toc28007 \h </w:instrText>
      </w:r>
      <w:r>
        <w:fldChar w:fldCharType="separate"/>
      </w:r>
      <w:r>
        <w:t>57</w:t>
      </w:r>
      <w:r>
        <w:fldChar w:fldCharType="end"/>
      </w:r>
      <w:r>
        <w:fldChar w:fldCharType="end"/>
      </w:r>
    </w:p>
    <w:p w14:paraId="37E0D467">
      <w:pPr>
        <w:pStyle w:val="39"/>
        <w:tabs>
          <w:tab w:val="right" w:leader="dot" w:pos="8953"/>
        </w:tabs>
      </w:pPr>
      <w:r>
        <w:fldChar w:fldCharType="begin"/>
      </w:r>
      <w:r>
        <w:instrText xml:space="preserve"> HYPERLINK \l "_Toc21877" </w:instrText>
      </w:r>
      <w:r>
        <w:fldChar w:fldCharType="separate"/>
      </w:r>
      <w:r>
        <w:rPr>
          <w:rFonts w:hint="eastAsia" w:ascii="宋体" w:hAnsi="宋体" w:cs="宋体"/>
          <w:iCs/>
          <w:szCs w:val="32"/>
        </w:rPr>
        <w:t>十、项目组人员</w:t>
      </w:r>
      <w:r>
        <w:tab/>
      </w:r>
      <w:r>
        <w:fldChar w:fldCharType="begin"/>
      </w:r>
      <w:r>
        <w:instrText xml:space="preserve"> PAGEREF _Toc21877 \h </w:instrText>
      </w:r>
      <w:r>
        <w:fldChar w:fldCharType="separate"/>
      </w:r>
      <w:r>
        <w:t>58</w:t>
      </w:r>
      <w:r>
        <w:fldChar w:fldCharType="end"/>
      </w:r>
      <w:r>
        <w:fldChar w:fldCharType="end"/>
      </w:r>
    </w:p>
    <w:p w14:paraId="5D1AFC46">
      <w:pPr>
        <w:pStyle w:val="39"/>
        <w:tabs>
          <w:tab w:val="right" w:leader="dot" w:pos="8953"/>
        </w:tabs>
      </w:pPr>
      <w:r>
        <w:fldChar w:fldCharType="begin"/>
      </w:r>
      <w:r>
        <w:instrText xml:space="preserve"> HYPERLINK \l "_Toc25992" </w:instrText>
      </w:r>
      <w:r>
        <w:fldChar w:fldCharType="separate"/>
      </w:r>
      <w:r>
        <w:rPr>
          <w:rFonts w:hint="eastAsia" w:ascii="宋体" w:hAnsi="宋体" w:cs="宋体"/>
          <w:iCs/>
          <w:szCs w:val="32"/>
        </w:rPr>
        <w:t>十一、企业业绩</w:t>
      </w:r>
      <w:r>
        <w:tab/>
      </w:r>
      <w:r>
        <w:fldChar w:fldCharType="begin"/>
      </w:r>
      <w:r>
        <w:instrText xml:space="preserve"> PAGEREF _Toc25992 \h </w:instrText>
      </w:r>
      <w:r>
        <w:fldChar w:fldCharType="separate"/>
      </w:r>
      <w:r>
        <w:t>59</w:t>
      </w:r>
      <w:r>
        <w:fldChar w:fldCharType="end"/>
      </w:r>
      <w:r>
        <w:fldChar w:fldCharType="end"/>
      </w:r>
    </w:p>
    <w:p w14:paraId="605EE258">
      <w:pPr>
        <w:pStyle w:val="39"/>
        <w:tabs>
          <w:tab w:val="right" w:leader="dot" w:pos="8953"/>
        </w:tabs>
      </w:pPr>
      <w:r>
        <w:fldChar w:fldCharType="begin"/>
      </w:r>
      <w:r>
        <w:instrText xml:space="preserve"> HYPERLINK \l "_Toc18253" </w:instrText>
      </w:r>
      <w:r>
        <w:fldChar w:fldCharType="separate"/>
      </w:r>
      <w:r>
        <w:rPr>
          <w:rFonts w:hint="eastAsia" w:ascii="宋体" w:hAnsi="宋体" w:cs="宋体"/>
          <w:iCs/>
          <w:szCs w:val="32"/>
        </w:rPr>
        <w:t>十二、项目实施方案</w:t>
      </w:r>
      <w:r>
        <w:tab/>
      </w:r>
      <w:r>
        <w:fldChar w:fldCharType="begin"/>
      </w:r>
      <w:r>
        <w:instrText xml:space="preserve"> PAGEREF _Toc18253 \h </w:instrText>
      </w:r>
      <w:r>
        <w:fldChar w:fldCharType="separate"/>
      </w:r>
      <w:r>
        <w:t>60</w:t>
      </w:r>
      <w:r>
        <w:fldChar w:fldCharType="end"/>
      </w:r>
      <w:r>
        <w:fldChar w:fldCharType="end"/>
      </w:r>
    </w:p>
    <w:p w14:paraId="7E78B5F4">
      <w:pPr>
        <w:pStyle w:val="39"/>
        <w:tabs>
          <w:tab w:val="right" w:leader="dot" w:pos="8953"/>
        </w:tabs>
      </w:pPr>
      <w:r>
        <w:fldChar w:fldCharType="begin"/>
      </w:r>
      <w:r>
        <w:instrText xml:space="preserve"> HYPERLINK \l "_Toc27634" </w:instrText>
      </w:r>
      <w:r>
        <w:fldChar w:fldCharType="separate"/>
      </w:r>
      <w:r>
        <w:rPr>
          <w:rFonts w:hint="eastAsia" w:ascii="宋体" w:hAnsi="宋体" w:cs="宋体"/>
          <w:iCs/>
          <w:szCs w:val="32"/>
        </w:rPr>
        <w:t>十三、磋商所需其他材料</w:t>
      </w:r>
      <w:r>
        <w:tab/>
      </w:r>
      <w:r>
        <w:fldChar w:fldCharType="begin"/>
      </w:r>
      <w:r>
        <w:instrText xml:space="preserve"> PAGEREF _Toc27634 \h </w:instrText>
      </w:r>
      <w:r>
        <w:fldChar w:fldCharType="separate"/>
      </w:r>
      <w:r>
        <w:t>61</w:t>
      </w:r>
      <w:r>
        <w:fldChar w:fldCharType="end"/>
      </w:r>
      <w:r>
        <w:fldChar w:fldCharType="end"/>
      </w:r>
    </w:p>
    <w:p w14:paraId="75B26CB4">
      <w:pPr>
        <w:pStyle w:val="31"/>
        <w:tabs>
          <w:tab w:val="right" w:leader="dot" w:pos="8943"/>
        </w:tabs>
        <w:spacing w:line="360" w:lineRule="auto"/>
        <w:rPr>
          <w:rFonts w:ascii="Times New Roman" w:hAnsi="Times New Roman"/>
          <w:sz w:val="21"/>
          <w:szCs w:val="21"/>
        </w:rPr>
      </w:pPr>
      <w:r>
        <w:rPr>
          <w:rFonts w:ascii="宋体" w:hAnsi="宋体" w:cs="Times New Roman"/>
          <w:szCs w:val="21"/>
        </w:rPr>
        <w:fldChar w:fldCharType="end"/>
      </w:r>
    </w:p>
    <w:p w14:paraId="0AB3862E">
      <w:pPr>
        <w:keepNext/>
        <w:jc w:val="center"/>
        <w:outlineLvl w:val="0"/>
        <w:rPr>
          <w:rFonts w:ascii="Times New Roman" w:hAnsi="Times New Roman"/>
          <w:b/>
          <w:bCs/>
          <w:sz w:val="44"/>
          <w:szCs w:val="44"/>
        </w:rPr>
      </w:pPr>
      <w:r>
        <w:rPr>
          <w:rFonts w:ascii="Times New Roman" w:hAnsi="Times New Roman"/>
          <w:b/>
          <w:sz w:val="44"/>
          <w:szCs w:val="44"/>
        </w:rPr>
        <w:br w:type="page" w:clear="all"/>
      </w:r>
      <w:bookmarkStart w:id="13" w:name="_Toc102"/>
      <w:r>
        <w:rPr>
          <w:rFonts w:ascii="Times New Roman" w:hAnsi="Times New Roman"/>
          <w:b/>
          <w:sz w:val="44"/>
          <w:szCs w:val="44"/>
        </w:rPr>
        <w:t xml:space="preserve">第一章  </w:t>
      </w:r>
      <w:bookmarkEnd w:id="7"/>
      <w:r>
        <w:rPr>
          <w:rFonts w:ascii="Times New Roman" w:hAnsi="Times New Roman"/>
          <w:b/>
          <w:sz w:val="44"/>
          <w:szCs w:val="44"/>
        </w:rPr>
        <w:t>磋商邀请</w:t>
      </w:r>
      <w:bookmarkEnd w:id="13"/>
    </w:p>
    <w:p w14:paraId="5F5907DE">
      <w:pPr>
        <w:spacing w:line="360" w:lineRule="auto"/>
        <w:ind w:firstLine="480"/>
        <w:rPr>
          <w:rFonts w:ascii="Times New Roman" w:hAnsi="Times New Roman"/>
          <w:sz w:val="24"/>
          <w:szCs w:val="24"/>
        </w:rPr>
      </w:pPr>
      <w:r>
        <w:rPr>
          <w:rFonts w:ascii="Times New Roman" w:hAnsi="Times New Roman"/>
          <w:sz w:val="24"/>
          <w:szCs w:val="24"/>
        </w:rPr>
        <w:t>受</w:t>
      </w:r>
      <w:r>
        <w:rPr>
          <w:rFonts w:hint="eastAsia" w:ascii="Times New Roman" w:hAnsi="Times New Roman"/>
          <w:sz w:val="24"/>
          <w:szCs w:val="24"/>
        </w:rPr>
        <w:t>泗阳县农业技术推广中心</w:t>
      </w:r>
      <w:r>
        <w:rPr>
          <w:rFonts w:ascii="Times New Roman" w:hAnsi="Times New Roman"/>
          <w:sz w:val="24"/>
          <w:szCs w:val="24"/>
        </w:rPr>
        <w:t>的委托，江苏志诚工程咨询管理有限公司就</w:t>
      </w:r>
      <w:r>
        <w:rPr>
          <w:rFonts w:hint="eastAsia" w:ascii="Times New Roman" w:hAnsi="Times New Roman"/>
          <w:sz w:val="24"/>
          <w:szCs w:val="24"/>
        </w:rPr>
        <w:t>2026年度泗阳县补充耕地质量评定项目</w:t>
      </w:r>
      <w:r>
        <w:rPr>
          <w:rFonts w:hint="eastAsia" w:ascii="宋体" w:hAnsi="宋体" w:cs="宋体"/>
          <w:sz w:val="24"/>
          <w:szCs w:val="24"/>
        </w:rPr>
        <w:t>(</w:t>
      </w:r>
      <w:r>
        <w:rPr>
          <w:rFonts w:hint="eastAsia" w:ascii="宋体" w:hAnsi="宋体" w:cs="宋体"/>
          <w:sz w:val="24"/>
          <w:szCs w:val="24"/>
          <w:lang w:eastAsia="zh-CN"/>
        </w:rPr>
        <w:t>JSZC-321323-JSZC-C2026-0022</w:t>
      </w:r>
      <w:r>
        <w:rPr>
          <w:rFonts w:hint="eastAsia" w:ascii="宋体" w:hAnsi="宋体" w:cs="宋体"/>
          <w:sz w:val="24"/>
          <w:szCs w:val="24"/>
        </w:rPr>
        <w:t>)项目</w:t>
      </w:r>
      <w:r>
        <w:rPr>
          <w:rFonts w:ascii="Times New Roman" w:hAnsi="Times New Roman"/>
          <w:sz w:val="24"/>
          <w:szCs w:val="24"/>
        </w:rPr>
        <w:t>进行竞争性磋商采购，欢迎符合条件的供应商参加磋商。</w:t>
      </w:r>
    </w:p>
    <w:p w14:paraId="6DCBE3BF">
      <w:pPr>
        <w:pBdr>
          <w:top w:val="single" w:color="000000" w:sz="4" w:space="1"/>
          <w:left w:val="single" w:color="000000" w:sz="4" w:space="4"/>
          <w:bottom w:val="single" w:color="000000" w:sz="4" w:space="1"/>
          <w:right w:val="single" w:color="000000" w:sz="4" w:space="4"/>
        </w:pBdr>
        <w:spacing w:line="276" w:lineRule="auto"/>
        <w:ind w:firstLine="480"/>
        <w:rPr>
          <w:rFonts w:ascii="Times New Roman" w:hAnsi="Times New Roman"/>
          <w:sz w:val="24"/>
          <w:szCs w:val="24"/>
        </w:rPr>
      </w:pPr>
      <w:r>
        <w:rPr>
          <w:rFonts w:ascii="Times New Roman" w:hAnsi="Times New Roman"/>
          <w:sz w:val="24"/>
          <w:szCs w:val="24"/>
        </w:rPr>
        <w:t>项目概况</w:t>
      </w:r>
    </w:p>
    <w:p w14:paraId="623CA02B">
      <w:pPr>
        <w:pBdr>
          <w:top w:val="single" w:color="000000" w:sz="4" w:space="1"/>
          <w:left w:val="single" w:color="000000" w:sz="4" w:space="4"/>
          <w:bottom w:val="single" w:color="000000" w:sz="4" w:space="1"/>
          <w:right w:val="single" w:color="000000" w:sz="4" w:space="4"/>
        </w:pBdr>
        <w:spacing w:line="276" w:lineRule="auto"/>
        <w:ind w:firstLine="480"/>
        <w:rPr>
          <w:rFonts w:ascii="Times New Roman" w:hAnsi="Times New Roman"/>
          <w:sz w:val="24"/>
          <w:szCs w:val="24"/>
        </w:rPr>
      </w:pPr>
      <w:r>
        <w:rPr>
          <w:rFonts w:hint="eastAsia" w:ascii="Times New Roman" w:hAnsi="Times New Roman"/>
          <w:sz w:val="24"/>
          <w:szCs w:val="24"/>
          <w:u w:val="single"/>
        </w:rPr>
        <w:t>2026年度泗阳县补充耕地质量评定项目</w:t>
      </w:r>
      <w:r>
        <w:rPr>
          <w:rFonts w:ascii="Times New Roman" w:hAnsi="Times New Roman"/>
          <w:sz w:val="24"/>
          <w:szCs w:val="24"/>
        </w:rPr>
        <w:t>竞争性磋商项目的潜在供应商</w:t>
      </w:r>
      <w:r>
        <w:rPr>
          <w:rFonts w:hint="eastAsia" w:ascii="Times New Roman" w:hAnsi="Times New Roman"/>
          <w:sz w:val="24"/>
          <w:szCs w:val="24"/>
        </w:rPr>
        <w:t>应在“苏采云“系统 (网址: http://jszfcg.jsczt.cn/) 获取</w:t>
      </w:r>
      <w:r>
        <w:rPr>
          <w:rFonts w:ascii="Times New Roman" w:hAnsi="Times New Roman"/>
          <w:sz w:val="24"/>
          <w:szCs w:val="24"/>
        </w:rPr>
        <w:t>磋商文件，并于</w:t>
      </w:r>
      <w:r>
        <w:rPr>
          <w:rFonts w:ascii="Times New Roman" w:hAnsi="Times New Roman"/>
          <w:sz w:val="24"/>
          <w:szCs w:val="24"/>
          <w:u w:val="single"/>
        </w:rPr>
        <w:t>202</w:t>
      </w:r>
      <w:r>
        <w:rPr>
          <w:rFonts w:hint="eastAsia" w:ascii="Times New Roman" w:hAnsi="Times New Roman"/>
          <w:sz w:val="24"/>
          <w:szCs w:val="24"/>
          <w:u w:val="single"/>
        </w:rPr>
        <w:t>6</w:t>
      </w:r>
      <w:r>
        <w:rPr>
          <w:rFonts w:ascii="Times New Roman" w:hAnsi="Times New Roman"/>
          <w:bCs/>
          <w:sz w:val="24"/>
          <w:szCs w:val="24"/>
          <w:u w:val="single"/>
        </w:rPr>
        <w:t>年</w:t>
      </w:r>
      <w:r>
        <w:rPr>
          <w:rFonts w:hint="eastAsia" w:ascii="Times New Roman" w:hAnsi="Times New Roman"/>
          <w:bCs/>
          <w:sz w:val="24"/>
          <w:szCs w:val="24"/>
          <w:u w:val="single"/>
          <w:lang w:val="en-US" w:eastAsia="zh-CN"/>
        </w:rPr>
        <w:t>6</w:t>
      </w:r>
      <w:r>
        <w:rPr>
          <w:rFonts w:ascii="Times New Roman" w:hAnsi="Times New Roman"/>
          <w:bCs/>
          <w:sz w:val="24"/>
          <w:szCs w:val="24"/>
          <w:u w:val="single"/>
        </w:rPr>
        <w:t>月</w:t>
      </w:r>
      <w:r>
        <w:rPr>
          <w:rFonts w:hint="eastAsia" w:ascii="Times New Roman" w:hAnsi="Times New Roman"/>
          <w:bCs/>
          <w:sz w:val="24"/>
          <w:szCs w:val="24"/>
          <w:u w:val="single"/>
          <w:lang w:val="en-US" w:eastAsia="zh-CN"/>
        </w:rPr>
        <w:t>18</w:t>
      </w:r>
      <w:r>
        <w:rPr>
          <w:rFonts w:ascii="Times New Roman" w:hAnsi="Times New Roman"/>
          <w:bCs/>
          <w:sz w:val="24"/>
          <w:szCs w:val="24"/>
          <w:u w:val="single"/>
        </w:rPr>
        <w:t>日</w:t>
      </w:r>
      <w:r>
        <w:rPr>
          <w:rFonts w:hint="eastAsia" w:ascii="Times New Roman" w:hAnsi="Times New Roman"/>
          <w:bCs/>
          <w:sz w:val="24"/>
          <w:szCs w:val="24"/>
          <w:u w:val="single"/>
        </w:rPr>
        <w:t>09</w:t>
      </w:r>
      <w:r>
        <w:rPr>
          <w:rFonts w:ascii="Times New Roman" w:hAnsi="Times New Roman"/>
          <w:bCs/>
          <w:sz w:val="24"/>
          <w:szCs w:val="24"/>
          <w:u w:val="single"/>
        </w:rPr>
        <w:t>点</w:t>
      </w:r>
      <w:r>
        <w:rPr>
          <w:rFonts w:hint="eastAsia" w:ascii="Times New Roman" w:hAnsi="Times New Roman"/>
          <w:bCs/>
          <w:sz w:val="24"/>
          <w:szCs w:val="24"/>
          <w:u w:val="single"/>
        </w:rPr>
        <w:t>00</w:t>
      </w:r>
      <w:r>
        <w:rPr>
          <w:rFonts w:ascii="Times New Roman" w:hAnsi="Times New Roman"/>
          <w:bCs/>
          <w:sz w:val="24"/>
          <w:szCs w:val="24"/>
          <w:u w:val="single"/>
        </w:rPr>
        <w:t>分（</w:t>
      </w:r>
      <w:r>
        <w:rPr>
          <w:rFonts w:ascii="Times New Roman" w:hAnsi="Times New Roman"/>
          <w:bCs/>
          <w:sz w:val="24"/>
          <w:szCs w:val="24"/>
        </w:rPr>
        <w:t>北京时间）前递交响应文件</w:t>
      </w:r>
      <w:r>
        <w:rPr>
          <w:rFonts w:ascii="Times New Roman" w:hAnsi="Times New Roman"/>
          <w:sz w:val="24"/>
          <w:szCs w:val="24"/>
        </w:rPr>
        <w:t>。</w:t>
      </w:r>
    </w:p>
    <w:p w14:paraId="0AF13C80">
      <w:pPr>
        <w:keepNext/>
        <w:keepLines/>
        <w:spacing w:line="360" w:lineRule="auto"/>
        <w:ind w:firstLine="436"/>
        <w:outlineLvl w:val="2"/>
        <w:rPr>
          <w:rFonts w:ascii="Times New Roman" w:hAnsi="Times New Roman"/>
          <w:b/>
          <w:bCs/>
          <w:sz w:val="28"/>
          <w:szCs w:val="28"/>
        </w:rPr>
      </w:pPr>
      <w:bookmarkStart w:id="14" w:name="_Toc28359002"/>
      <w:bookmarkStart w:id="15" w:name="_Toc35393621"/>
      <w:bookmarkStart w:id="16" w:name="_Toc28359079"/>
      <w:bookmarkStart w:id="17" w:name="_Toc25662"/>
      <w:bookmarkStart w:id="18" w:name="_Toc35393790"/>
      <w:bookmarkStart w:id="19" w:name="_Toc38985263"/>
      <w:bookmarkStart w:id="20" w:name="_Hlk24379207"/>
      <w:r>
        <w:rPr>
          <w:rFonts w:ascii="Times New Roman" w:hAnsi="Times New Roman"/>
          <w:b/>
          <w:bCs/>
          <w:sz w:val="28"/>
          <w:szCs w:val="28"/>
        </w:rPr>
        <w:t>一、项目基本情况</w:t>
      </w:r>
      <w:bookmarkEnd w:id="14"/>
      <w:bookmarkEnd w:id="15"/>
      <w:bookmarkEnd w:id="16"/>
      <w:bookmarkEnd w:id="17"/>
      <w:bookmarkEnd w:id="18"/>
      <w:bookmarkEnd w:id="19"/>
    </w:p>
    <w:p w14:paraId="3C7F0289">
      <w:pPr>
        <w:spacing w:line="360" w:lineRule="auto"/>
        <w:ind w:firstLine="480"/>
        <w:rPr>
          <w:rFonts w:hint="eastAsia" w:ascii="Times New Roman" w:hAnsi="Times New Roman" w:eastAsia="宋体"/>
          <w:sz w:val="24"/>
          <w:szCs w:val="24"/>
          <w:lang w:eastAsia="zh-CN"/>
        </w:rPr>
      </w:pPr>
      <w:r>
        <w:rPr>
          <w:rFonts w:ascii="Times New Roman" w:hAnsi="Times New Roman"/>
          <w:sz w:val="24"/>
          <w:szCs w:val="24"/>
        </w:rPr>
        <w:t>1.项目编号：</w:t>
      </w:r>
      <w:r>
        <w:rPr>
          <w:rFonts w:hint="eastAsia" w:ascii="Times New Roman" w:hAnsi="Times New Roman"/>
          <w:sz w:val="24"/>
          <w:szCs w:val="24"/>
          <w:lang w:eastAsia="zh-CN"/>
        </w:rPr>
        <w:t>JSZC-321323-JSZC-C2026-0022</w:t>
      </w:r>
    </w:p>
    <w:p w14:paraId="24A35700">
      <w:pPr>
        <w:spacing w:line="360" w:lineRule="auto"/>
        <w:ind w:firstLine="480"/>
        <w:rPr>
          <w:rFonts w:ascii="Times New Roman" w:hAnsi="Times New Roman"/>
          <w:sz w:val="24"/>
          <w:szCs w:val="24"/>
        </w:rPr>
      </w:pPr>
      <w:r>
        <w:rPr>
          <w:rFonts w:ascii="Times New Roman" w:hAnsi="Times New Roman"/>
          <w:sz w:val="24"/>
          <w:szCs w:val="24"/>
        </w:rPr>
        <w:t>2.项目名称：</w:t>
      </w:r>
      <w:bookmarkEnd w:id="20"/>
      <w:r>
        <w:rPr>
          <w:rFonts w:hint="eastAsia" w:ascii="Times New Roman" w:hAnsi="Times New Roman"/>
          <w:sz w:val="24"/>
          <w:szCs w:val="24"/>
        </w:rPr>
        <w:t>2026年度泗阳县补充耕地质量评定项目</w:t>
      </w:r>
    </w:p>
    <w:p w14:paraId="61A8ADDB">
      <w:pPr>
        <w:spacing w:line="360" w:lineRule="auto"/>
        <w:ind w:firstLine="480"/>
        <w:rPr>
          <w:rFonts w:hint="eastAsia" w:ascii="Times New Roman" w:hAnsi="Times New Roman"/>
          <w:sz w:val="24"/>
          <w:szCs w:val="24"/>
        </w:rPr>
      </w:pPr>
      <w:r>
        <w:rPr>
          <w:rFonts w:ascii="Times New Roman" w:hAnsi="Times New Roman"/>
          <w:sz w:val="24"/>
          <w:szCs w:val="24"/>
        </w:rPr>
        <w:t>3.预算金额：</w:t>
      </w:r>
      <w:r>
        <w:rPr>
          <w:rFonts w:hint="eastAsia" w:ascii="Times New Roman" w:hAnsi="Times New Roman"/>
          <w:bCs/>
          <w:sz w:val="24"/>
          <w:szCs w:val="24"/>
        </w:rPr>
        <w:t>采购包1</w:t>
      </w:r>
      <w:r>
        <w:rPr>
          <w:rFonts w:hint="eastAsia" w:ascii="Times New Roman" w:hAnsi="Times New Roman"/>
          <w:bCs/>
          <w:sz w:val="24"/>
          <w:szCs w:val="24"/>
          <w:lang w:eastAsia="zh-CN"/>
        </w:rPr>
        <w:t>：</w:t>
      </w:r>
      <w:r>
        <w:rPr>
          <w:rFonts w:hint="eastAsia" w:ascii="Times New Roman" w:hAnsi="Times New Roman"/>
          <w:sz w:val="24"/>
          <w:szCs w:val="24"/>
        </w:rPr>
        <w:t>108.25万元</w:t>
      </w:r>
    </w:p>
    <w:p w14:paraId="0E2D2E4E">
      <w:pPr>
        <w:spacing w:line="360" w:lineRule="auto"/>
        <w:ind w:firstLine="480"/>
        <w:rPr>
          <w:rFonts w:ascii="Times New Roman" w:hAnsi="Times New Roman"/>
          <w:bCs/>
          <w:sz w:val="24"/>
          <w:szCs w:val="24"/>
        </w:rPr>
      </w:pPr>
      <w:r>
        <w:rPr>
          <w:rFonts w:ascii="Times New Roman" w:hAnsi="Times New Roman"/>
          <w:bCs/>
          <w:sz w:val="24"/>
          <w:szCs w:val="24"/>
        </w:rPr>
        <w:t>4.本项目设定最高限价，</w:t>
      </w:r>
      <w:r>
        <w:rPr>
          <w:rFonts w:hint="eastAsia" w:ascii="Times New Roman" w:hAnsi="Times New Roman"/>
          <w:bCs/>
          <w:sz w:val="24"/>
          <w:szCs w:val="24"/>
        </w:rPr>
        <w:t>采购包1：本项目单价最高限价为350元/亩；高于此限价按无效投标处理。</w:t>
      </w:r>
    </w:p>
    <w:p w14:paraId="5AD18F76">
      <w:pPr>
        <w:spacing w:line="360" w:lineRule="auto"/>
        <w:ind w:firstLine="480"/>
        <w:rPr>
          <w:rFonts w:hint="eastAsia" w:ascii="Times New Roman" w:hAnsi="Times New Roman"/>
          <w:sz w:val="24"/>
          <w:szCs w:val="24"/>
        </w:rPr>
      </w:pPr>
      <w:r>
        <w:rPr>
          <w:rFonts w:ascii="Times New Roman" w:hAnsi="Times New Roman"/>
          <w:sz w:val="24"/>
          <w:szCs w:val="24"/>
        </w:rPr>
        <w:t>5.采购需求：</w:t>
      </w:r>
      <w:r>
        <w:rPr>
          <w:rFonts w:hint="eastAsia" w:ascii="Times New Roman" w:hAnsi="Times New Roman"/>
          <w:sz w:val="24"/>
          <w:szCs w:val="24"/>
        </w:rPr>
        <w:t>为顺利推进2026年度泗阳县补充耕地质量评定项目，泗阳县农业技术推广中心拟委托第三方机构开展上述工作，预计申报约6186亩左右，根据项目实际情况，将本项目分为两个采购包，</w:t>
      </w:r>
      <w:r>
        <w:rPr>
          <w:rFonts w:hint="eastAsia" w:ascii="Times New Roman" w:hAnsi="Times New Roman"/>
          <w:sz w:val="24"/>
          <w:szCs w:val="24"/>
          <w:lang w:val="en-US" w:eastAsia="zh-CN"/>
        </w:rPr>
        <w:t>本次采购的为</w:t>
      </w:r>
      <w:r>
        <w:rPr>
          <w:rFonts w:hint="eastAsia" w:ascii="Times New Roman" w:hAnsi="Times New Roman"/>
          <w:sz w:val="24"/>
          <w:szCs w:val="24"/>
        </w:rPr>
        <w:t xml:space="preserve">采购包1：2026年度泗阳县补充耕地质量评定项目（分包一），预计申报约3093亩（最终工作量以实际发生为准），详细内容见本招标文件第四章采购需求。 </w:t>
      </w:r>
    </w:p>
    <w:p w14:paraId="05231D3C">
      <w:pPr>
        <w:numPr>
          <w:ilvl w:val="0"/>
          <w:numId w:val="4"/>
        </w:numPr>
        <w:spacing w:line="360" w:lineRule="auto"/>
        <w:ind w:firstLine="480"/>
        <w:rPr>
          <w:rFonts w:ascii="Times New Roman" w:hAnsi="Times New Roman"/>
          <w:sz w:val="24"/>
          <w:szCs w:val="24"/>
        </w:rPr>
      </w:pPr>
      <w:r>
        <w:rPr>
          <w:rFonts w:ascii="Times New Roman" w:hAnsi="Times New Roman"/>
          <w:sz w:val="24"/>
          <w:szCs w:val="24"/>
        </w:rPr>
        <w:t>合同履行期限：</w:t>
      </w:r>
    </w:p>
    <w:p w14:paraId="5AD71880">
      <w:pPr>
        <w:spacing w:line="360" w:lineRule="auto"/>
        <w:ind w:firstLine="480"/>
        <w:rPr>
          <w:rFonts w:ascii="Times New Roman" w:hAnsi="Times New Roman"/>
          <w:sz w:val="24"/>
          <w:szCs w:val="24"/>
        </w:rPr>
      </w:pPr>
      <w:r>
        <w:rPr>
          <w:rFonts w:hint="eastAsia" w:ascii="Times New Roman" w:hAnsi="Times New Roman"/>
          <w:sz w:val="24"/>
          <w:szCs w:val="24"/>
        </w:rPr>
        <w:t>合同生效之日起4个月。</w:t>
      </w:r>
    </w:p>
    <w:p w14:paraId="16EE4575">
      <w:pPr>
        <w:spacing w:line="360" w:lineRule="auto"/>
        <w:ind w:firstLine="480"/>
        <w:rPr>
          <w:rFonts w:ascii="Times New Roman" w:hAnsi="Times New Roman"/>
          <w:sz w:val="24"/>
          <w:szCs w:val="24"/>
          <w:u w:val="single"/>
        </w:rPr>
      </w:pPr>
      <w:r>
        <w:rPr>
          <w:rFonts w:ascii="Times New Roman" w:hAnsi="Times New Roman"/>
          <w:sz w:val="24"/>
          <w:szCs w:val="24"/>
        </w:rPr>
        <w:t>7.本项目不接受联合体参与磋商。</w:t>
      </w:r>
    </w:p>
    <w:p w14:paraId="7252381E">
      <w:pPr>
        <w:keepNext/>
        <w:keepLines/>
        <w:spacing w:line="360" w:lineRule="auto"/>
        <w:ind w:firstLine="436"/>
        <w:outlineLvl w:val="2"/>
        <w:rPr>
          <w:rFonts w:ascii="Times New Roman" w:hAnsi="Times New Roman"/>
          <w:b/>
          <w:bCs/>
          <w:sz w:val="28"/>
          <w:szCs w:val="28"/>
        </w:rPr>
      </w:pPr>
      <w:bookmarkStart w:id="21" w:name="_Toc38985264"/>
      <w:bookmarkStart w:id="22" w:name="_Toc35393622"/>
      <w:bookmarkStart w:id="23" w:name="_Toc28359003"/>
      <w:bookmarkStart w:id="24" w:name="_Toc35393791"/>
      <w:bookmarkStart w:id="25" w:name="_Toc27165"/>
      <w:bookmarkStart w:id="26" w:name="_Toc28359080"/>
      <w:r>
        <w:rPr>
          <w:rFonts w:ascii="Times New Roman" w:hAnsi="Times New Roman"/>
          <w:b/>
          <w:bCs/>
          <w:sz w:val="28"/>
          <w:szCs w:val="28"/>
        </w:rPr>
        <w:t>二、申请人的资格要求：</w:t>
      </w:r>
      <w:bookmarkEnd w:id="21"/>
      <w:bookmarkEnd w:id="22"/>
      <w:bookmarkEnd w:id="23"/>
      <w:bookmarkEnd w:id="24"/>
      <w:bookmarkEnd w:id="25"/>
      <w:bookmarkEnd w:id="26"/>
    </w:p>
    <w:p w14:paraId="262ABF75">
      <w:pPr>
        <w:spacing w:line="360" w:lineRule="auto"/>
        <w:ind w:firstLine="480"/>
        <w:rPr>
          <w:rFonts w:ascii="Times New Roman" w:hAnsi="Times New Roman"/>
          <w:sz w:val="24"/>
          <w:szCs w:val="24"/>
        </w:rPr>
      </w:pPr>
      <w:bookmarkStart w:id="27" w:name="_Toc38985265"/>
      <w:bookmarkStart w:id="28" w:name="_Toc35393792"/>
      <w:bookmarkStart w:id="29" w:name="_Toc35393623"/>
      <w:bookmarkStart w:id="30" w:name="_Toc28359081"/>
      <w:bookmarkStart w:id="31" w:name="_Toc28359004"/>
      <w:r>
        <w:rPr>
          <w:rFonts w:ascii="Times New Roman" w:hAnsi="Times New Roman"/>
          <w:sz w:val="24"/>
          <w:szCs w:val="24"/>
        </w:rPr>
        <w:t>（一）通用资格要求</w:t>
      </w:r>
    </w:p>
    <w:p w14:paraId="0420F8D1">
      <w:pPr>
        <w:spacing w:line="360" w:lineRule="auto"/>
        <w:ind w:firstLine="480"/>
        <w:rPr>
          <w:rFonts w:ascii="Times New Roman" w:hAnsi="Times New Roman"/>
          <w:sz w:val="24"/>
          <w:szCs w:val="24"/>
        </w:rPr>
      </w:pPr>
      <w:r>
        <w:rPr>
          <w:rFonts w:ascii="Times New Roman" w:hAnsi="Times New Roman"/>
          <w:sz w:val="24"/>
          <w:szCs w:val="24"/>
        </w:rPr>
        <w:t>1.具备《中华人民共和国政府采购法》第二十二条第一款规定的6项条件（按要求提供声明及信用承诺）；</w:t>
      </w:r>
    </w:p>
    <w:p w14:paraId="62A20787">
      <w:pPr>
        <w:spacing w:line="360" w:lineRule="auto"/>
        <w:ind w:firstLine="480"/>
        <w:rPr>
          <w:rFonts w:ascii="Times New Roman" w:hAnsi="Times New Roman"/>
          <w:sz w:val="24"/>
          <w:szCs w:val="24"/>
        </w:rPr>
      </w:pPr>
      <w:r>
        <w:rPr>
          <w:rFonts w:ascii="Times New Roman" w:hAnsi="Times New Roman"/>
          <w:sz w:val="24"/>
          <w:szCs w:val="24"/>
        </w:rPr>
        <w:t>2.信用信息。信用信息查询渠道：“信用中国”网（www.creditchina.gov.cn）。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35484436">
      <w:pPr>
        <w:spacing w:line="360" w:lineRule="auto"/>
        <w:ind w:firstLine="480"/>
        <w:rPr>
          <w:rFonts w:ascii="Times New Roman" w:hAnsi="Times New Roman"/>
          <w:sz w:val="24"/>
          <w:szCs w:val="24"/>
        </w:rPr>
      </w:pPr>
      <w:r>
        <w:rPr>
          <w:rFonts w:ascii="Times New Roman" w:hAnsi="Times New Roman"/>
          <w:sz w:val="24"/>
          <w:szCs w:val="24"/>
        </w:rPr>
        <w:t>3.落实政府采购政策需满足的资格要求：本项目属于专门面向中小企业采购的项目，供应商应为中小企业（含残疾人福利单位、监狱和戒毒企业等）。（须提供《中小企业或残疾人福利性单位声明函》或由省级以上监狱管理局、戒毒管理局(含新疆生产建设兵团)出具的属于监狱企业的证明文件）。非中小型企业参与本项目投标，将作无效标处理。</w:t>
      </w:r>
    </w:p>
    <w:p w14:paraId="713C1892">
      <w:pPr>
        <w:spacing w:line="360" w:lineRule="auto"/>
        <w:ind w:firstLine="480"/>
        <w:rPr>
          <w:rFonts w:ascii="宋体" w:hAnsi="宋体"/>
          <w:sz w:val="24"/>
        </w:rPr>
      </w:pPr>
      <w:r>
        <w:rPr>
          <w:rFonts w:ascii="Times New Roman" w:hAnsi="Times New Roman"/>
          <w:sz w:val="24"/>
          <w:szCs w:val="24"/>
        </w:rPr>
        <w:t>（二）本项目的特定资格要求：</w:t>
      </w:r>
      <w:r>
        <w:rPr>
          <w:rFonts w:hint="eastAsia" w:ascii="Times New Roman" w:hAnsi="Times New Roman"/>
          <w:sz w:val="24"/>
          <w:szCs w:val="24"/>
        </w:rPr>
        <w:t>无</w:t>
      </w:r>
      <w:r>
        <w:rPr>
          <w:rFonts w:hint="eastAsia" w:ascii="宋体" w:hAnsi="宋体"/>
          <w:sz w:val="24"/>
        </w:rPr>
        <w:t>。</w:t>
      </w:r>
    </w:p>
    <w:p w14:paraId="51688247">
      <w:pPr>
        <w:keepNext/>
        <w:keepLines/>
        <w:spacing w:line="360" w:lineRule="auto"/>
        <w:ind w:firstLine="436"/>
        <w:outlineLvl w:val="2"/>
        <w:rPr>
          <w:rFonts w:ascii="Times New Roman" w:hAnsi="Times New Roman"/>
          <w:b/>
          <w:bCs/>
          <w:sz w:val="28"/>
          <w:szCs w:val="28"/>
        </w:rPr>
      </w:pPr>
      <w:bookmarkStart w:id="32" w:name="_Toc3580"/>
      <w:r>
        <w:rPr>
          <w:rFonts w:ascii="Times New Roman" w:hAnsi="Times New Roman"/>
          <w:b/>
          <w:bCs/>
          <w:sz w:val="28"/>
          <w:szCs w:val="28"/>
        </w:rPr>
        <w:t>三、获取</w:t>
      </w:r>
      <w:bookmarkEnd w:id="27"/>
      <w:bookmarkEnd w:id="28"/>
      <w:bookmarkEnd w:id="29"/>
      <w:bookmarkEnd w:id="30"/>
      <w:bookmarkEnd w:id="31"/>
      <w:r>
        <w:rPr>
          <w:rFonts w:ascii="Times New Roman" w:hAnsi="Times New Roman"/>
          <w:b/>
          <w:bCs/>
          <w:sz w:val="28"/>
          <w:szCs w:val="28"/>
        </w:rPr>
        <w:t>磋商文件</w:t>
      </w:r>
      <w:bookmarkEnd w:id="32"/>
    </w:p>
    <w:p w14:paraId="78808C58">
      <w:pPr>
        <w:spacing w:line="360" w:lineRule="auto"/>
        <w:ind w:firstLine="480"/>
        <w:rPr>
          <w:rFonts w:ascii="Times New Roman" w:hAnsi="Times New Roman"/>
          <w:bCs/>
          <w:sz w:val="24"/>
          <w:szCs w:val="24"/>
        </w:rPr>
      </w:pPr>
      <w:bookmarkStart w:id="33" w:name="_Toc28359082"/>
      <w:bookmarkStart w:id="34" w:name="_Toc28359005"/>
      <w:bookmarkStart w:id="35" w:name="_Toc35393793"/>
      <w:bookmarkStart w:id="36" w:name="_Toc35393624"/>
      <w:bookmarkStart w:id="37" w:name="_Toc38985266"/>
      <w:r>
        <w:rPr>
          <w:rFonts w:ascii="Times New Roman" w:hAnsi="Times New Roman"/>
          <w:sz w:val="24"/>
          <w:szCs w:val="24"/>
        </w:rPr>
        <w:t>1.时间：</w:t>
      </w:r>
      <w:r>
        <w:rPr>
          <w:rFonts w:hint="eastAsia" w:ascii="Times New Roman" w:hAnsi="Times New Roman"/>
          <w:sz w:val="24"/>
          <w:szCs w:val="24"/>
        </w:rPr>
        <w:t>自磋商文件公告发布之日起5个工作日</w:t>
      </w:r>
      <w:r>
        <w:rPr>
          <w:rFonts w:ascii="Times New Roman" w:hAnsi="Times New Roman"/>
          <w:bCs/>
          <w:sz w:val="24"/>
          <w:szCs w:val="24"/>
        </w:rPr>
        <w:t>。</w:t>
      </w:r>
    </w:p>
    <w:p w14:paraId="26ACA204">
      <w:pPr>
        <w:spacing w:line="360" w:lineRule="auto"/>
        <w:ind w:firstLine="480"/>
        <w:rPr>
          <w:rFonts w:ascii="Times New Roman" w:hAnsi="Times New Roman"/>
          <w:sz w:val="24"/>
          <w:szCs w:val="24"/>
        </w:rPr>
      </w:pPr>
      <w:r>
        <w:rPr>
          <w:rFonts w:ascii="Times New Roman" w:hAnsi="Times New Roman"/>
          <w:sz w:val="24"/>
          <w:szCs w:val="24"/>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bookmarkStart w:id="38" w:name="EB0c44ff4da61f4af989d119fe214be450"/>
    </w:p>
    <w:p w14:paraId="2DE975E7">
      <w:pPr>
        <w:spacing w:line="360" w:lineRule="auto"/>
        <w:ind w:firstLine="480"/>
        <w:rPr>
          <w:rFonts w:ascii="Times New Roman" w:hAnsi="Times New Roman"/>
          <w:sz w:val="24"/>
          <w:szCs w:val="24"/>
          <w:u w:val="single"/>
        </w:rPr>
      </w:pPr>
      <w:r>
        <w:rPr>
          <w:rFonts w:ascii="Times New Roman" w:hAnsi="Times New Roman"/>
          <w:sz w:val="24"/>
          <w:szCs w:val="24"/>
        </w:rPr>
        <w:t>3.本项目共分</w:t>
      </w:r>
      <w:r>
        <w:rPr>
          <w:rFonts w:hint="eastAsia" w:ascii="Times New Roman" w:hAnsi="Times New Roman"/>
          <w:sz w:val="24"/>
          <w:szCs w:val="24"/>
          <w:lang w:val="en-US" w:eastAsia="zh-CN"/>
        </w:rPr>
        <w:t>1</w:t>
      </w:r>
      <w:r>
        <w:rPr>
          <w:rFonts w:ascii="Times New Roman" w:hAnsi="Times New Roman"/>
          <w:sz w:val="24"/>
          <w:szCs w:val="24"/>
        </w:rPr>
        <w:t>个包。供应商应按包</w:t>
      </w:r>
      <w:r>
        <w:rPr>
          <w:rFonts w:hint="eastAsia" w:ascii="Times New Roman" w:hAnsi="Times New Roman"/>
          <w:sz w:val="24"/>
          <w:szCs w:val="24"/>
          <w:lang w:val="en-US" w:eastAsia="zh-CN"/>
        </w:rPr>
        <w:t>要求</w:t>
      </w:r>
      <w:r>
        <w:rPr>
          <w:rFonts w:ascii="Times New Roman" w:hAnsi="Times New Roman"/>
          <w:sz w:val="24"/>
          <w:szCs w:val="24"/>
        </w:rPr>
        <w:t>获取磋商文件。供应商未按要求获取竞争性磋商文件导致无法磋商的，后果自负（其响应文件不予接受）。</w:t>
      </w:r>
      <w:bookmarkEnd w:id="38"/>
    </w:p>
    <w:p w14:paraId="144D0753">
      <w:pPr>
        <w:keepNext/>
        <w:keepLines/>
        <w:spacing w:line="360" w:lineRule="auto"/>
        <w:ind w:firstLine="436"/>
        <w:outlineLvl w:val="2"/>
        <w:rPr>
          <w:rFonts w:ascii="Times New Roman" w:hAnsi="Times New Roman"/>
          <w:b/>
          <w:bCs/>
          <w:sz w:val="28"/>
          <w:szCs w:val="28"/>
        </w:rPr>
      </w:pPr>
      <w:bookmarkStart w:id="39" w:name="_Toc25818"/>
      <w:r>
        <w:rPr>
          <w:rFonts w:ascii="Times New Roman" w:hAnsi="Times New Roman"/>
          <w:b/>
          <w:bCs/>
          <w:sz w:val="28"/>
          <w:szCs w:val="28"/>
        </w:rPr>
        <w:t>四、提交</w:t>
      </w:r>
      <w:bookmarkEnd w:id="33"/>
      <w:bookmarkEnd w:id="34"/>
      <w:r>
        <w:rPr>
          <w:rFonts w:ascii="Times New Roman" w:hAnsi="Times New Roman"/>
          <w:b/>
          <w:bCs/>
          <w:sz w:val="28"/>
          <w:szCs w:val="28"/>
        </w:rPr>
        <w:t>响应文件截止时间</w:t>
      </w:r>
      <w:bookmarkEnd w:id="35"/>
      <w:bookmarkEnd w:id="36"/>
      <w:bookmarkEnd w:id="37"/>
      <w:bookmarkEnd w:id="39"/>
    </w:p>
    <w:p w14:paraId="2CEC6615">
      <w:pPr>
        <w:spacing w:line="360" w:lineRule="auto"/>
        <w:ind w:firstLine="480"/>
        <w:rPr>
          <w:rFonts w:ascii="Times New Roman" w:hAnsi="Times New Roman"/>
          <w:sz w:val="24"/>
          <w:szCs w:val="24"/>
        </w:rPr>
      </w:pPr>
      <w:r>
        <w:rPr>
          <w:rFonts w:ascii="Times New Roman" w:hAnsi="Times New Roman"/>
          <w:bCs/>
          <w:sz w:val="24"/>
          <w:szCs w:val="24"/>
        </w:rPr>
        <w:t>1.提交响应文件截止时间、磋商时间：</w:t>
      </w:r>
      <w:r>
        <w:rPr>
          <w:rFonts w:ascii="Times New Roman" w:hAnsi="Times New Roman"/>
          <w:bCs/>
          <w:sz w:val="24"/>
          <w:szCs w:val="24"/>
          <w:u w:val="single"/>
        </w:rPr>
        <w:t xml:space="preserve"> </w:t>
      </w:r>
      <w:r>
        <w:rPr>
          <w:rFonts w:ascii="Times New Roman" w:hAnsi="Times New Roman"/>
          <w:sz w:val="24"/>
          <w:szCs w:val="24"/>
          <w:u w:val="single"/>
        </w:rPr>
        <w:t>202</w:t>
      </w:r>
      <w:r>
        <w:rPr>
          <w:rFonts w:hint="eastAsia" w:ascii="Times New Roman" w:hAnsi="Times New Roman"/>
          <w:sz w:val="24"/>
          <w:szCs w:val="24"/>
          <w:u w:val="single"/>
        </w:rPr>
        <w:t>6</w:t>
      </w:r>
      <w:r>
        <w:rPr>
          <w:rFonts w:ascii="Times New Roman" w:hAnsi="Times New Roman"/>
          <w:bCs/>
          <w:sz w:val="24"/>
          <w:szCs w:val="24"/>
          <w:u w:val="single"/>
        </w:rPr>
        <w:t>年</w:t>
      </w:r>
      <w:r>
        <w:rPr>
          <w:rFonts w:hint="eastAsia" w:ascii="Times New Roman" w:hAnsi="Times New Roman"/>
          <w:bCs/>
          <w:sz w:val="24"/>
          <w:szCs w:val="24"/>
          <w:u w:val="single"/>
          <w:lang w:val="en-US" w:eastAsia="zh-CN"/>
        </w:rPr>
        <w:t>6</w:t>
      </w:r>
      <w:r>
        <w:rPr>
          <w:rFonts w:ascii="Times New Roman" w:hAnsi="Times New Roman"/>
          <w:bCs/>
          <w:sz w:val="24"/>
          <w:szCs w:val="24"/>
          <w:u w:val="single"/>
        </w:rPr>
        <w:t>月</w:t>
      </w:r>
      <w:r>
        <w:rPr>
          <w:rFonts w:hint="eastAsia" w:ascii="Times New Roman" w:hAnsi="Times New Roman"/>
          <w:bCs/>
          <w:sz w:val="24"/>
          <w:szCs w:val="24"/>
          <w:u w:val="single"/>
          <w:lang w:val="en-US" w:eastAsia="zh-CN"/>
        </w:rPr>
        <w:t>18</w:t>
      </w:r>
      <w:r>
        <w:rPr>
          <w:rFonts w:hint="eastAsia" w:ascii="Times New Roman" w:hAnsi="Times New Roman"/>
          <w:bCs/>
          <w:sz w:val="24"/>
          <w:szCs w:val="24"/>
          <w:u w:val="single"/>
        </w:rPr>
        <w:t>日09</w:t>
      </w:r>
      <w:r>
        <w:rPr>
          <w:rFonts w:ascii="Times New Roman" w:hAnsi="Times New Roman"/>
          <w:bCs/>
          <w:sz w:val="24"/>
          <w:szCs w:val="24"/>
          <w:u w:val="single"/>
        </w:rPr>
        <w:t>点</w:t>
      </w:r>
      <w:r>
        <w:rPr>
          <w:rFonts w:hint="eastAsia" w:ascii="Times New Roman" w:hAnsi="Times New Roman"/>
          <w:bCs/>
          <w:sz w:val="24"/>
          <w:szCs w:val="24"/>
          <w:u w:val="single"/>
        </w:rPr>
        <w:t>0</w:t>
      </w:r>
      <w:r>
        <w:rPr>
          <w:rFonts w:ascii="Times New Roman" w:hAnsi="Times New Roman"/>
          <w:bCs/>
          <w:sz w:val="24"/>
          <w:szCs w:val="24"/>
          <w:u w:val="single"/>
        </w:rPr>
        <w:t>0分</w:t>
      </w:r>
      <w:r>
        <w:rPr>
          <w:rFonts w:ascii="Times New Roman" w:hAnsi="Times New Roman"/>
          <w:bCs/>
          <w:sz w:val="24"/>
          <w:szCs w:val="24"/>
        </w:rPr>
        <w:t>（北京时间）。</w:t>
      </w:r>
    </w:p>
    <w:p w14:paraId="15588AC9">
      <w:pPr>
        <w:spacing w:line="360" w:lineRule="auto"/>
        <w:ind w:firstLine="540"/>
        <w:rPr>
          <w:rFonts w:ascii="Times New Roman" w:hAnsi="Times New Roman"/>
          <w:sz w:val="24"/>
          <w:szCs w:val="24"/>
        </w:rPr>
      </w:pPr>
      <w:r>
        <w:rPr>
          <w:rFonts w:ascii="Times New Roman" w:hAnsi="Times New Roman"/>
          <w:sz w:val="24"/>
          <w:szCs w:val="24"/>
        </w:rPr>
        <w:t>2.地点：“苏采云”政府采购交易系统网上开标大厅。</w:t>
      </w:r>
    </w:p>
    <w:p w14:paraId="3706083A">
      <w:pPr>
        <w:keepNext/>
        <w:keepLines/>
        <w:spacing w:line="360" w:lineRule="auto"/>
        <w:ind w:firstLine="436"/>
        <w:outlineLvl w:val="2"/>
        <w:rPr>
          <w:rFonts w:ascii="Times New Roman" w:hAnsi="Times New Roman"/>
          <w:b/>
          <w:bCs/>
          <w:sz w:val="28"/>
          <w:szCs w:val="28"/>
        </w:rPr>
      </w:pPr>
      <w:bookmarkStart w:id="40" w:name="_Toc38985267"/>
      <w:bookmarkStart w:id="41" w:name="_Toc28359084"/>
      <w:bookmarkStart w:id="42" w:name="_Toc28359007"/>
      <w:bookmarkStart w:id="43" w:name="_Toc35393625"/>
      <w:bookmarkStart w:id="44" w:name="_Toc35393794"/>
      <w:bookmarkStart w:id="45" w:name="_Toc12285"/>
      <w:r>
        <w:rPr>
          <w:rFonts w:ascii="Times New Roman" w:hAnsi="Times New Roman"/>
          <w:b/>
          <w:bCs/>
          <w:sz w:val="28"/>
          <w:szCs w:val="28"/>
        </w:rPr>
        <w:t>五、公告期限</w:t>
      </w:r>
      <w:bookmarkEnd w:id="40"/>
      <w:bookmarkEnd w:id="41"/>
      <w:bookmarkEnd w:id="42"/>
      <w:bookmarkEnd w:id="43"/>
      <w:bookmarkEnd w:id="44"/>
      <w:bookmarkEnd w:id="45"/>
    </w:p>
    <w:p w14:paraId="7C4512B4">
      <w:pPr>
        <w:spacing w:line="360" w:lineRule="auto"/>
        <w:ind w:firstLine="540"/>
        <w:rPr>
          <w:rFonts w:ascii="Times New Roman" w:hAnsi="Times New Roman"/>
          <w:sz w:val="24"/>
          <w:szCs w:val="24"/>
        </w:rPr>
      </w:pPr>
      <w:bookmarkStart w:id="46" w:name="_Toc35393795"/>
      <w:bookmarkStart w:id="47" w:name="_Toc35393626"/>
      <w:bookmarkStart w:id="48" w:name="_Toc38985268"/>
      <w:r>
        <w:rPr>
          <w:rFonts w:hint="eastAsia" w:ascii="Times New Roman" w:hAnsi="Times New Roman"/>
          <w:sz w:val="24"/>
          <w:szCs w:val="24"/>
        </w:rPr>
        <w:t>自本公告发布之日起3个工作日。</w:t>
      </w:r>
      <w:r>
        <w:rPr>
          <w:rFonts w:ascii="Times New Roman" w:hAnsi="Times New Roman"/>
          <w:sz w:val="24"/>
          <w:szCs w:val="24"/>
        </w:rPr>
        <w:t>采购公告发布媒体：</w:t>
      </w:r>
      <w:r>
        <w:rPr>
          <w:rFonts w:hint="eastAsia" w:ascii="Times New Roman" w:hAnsi="Times New Roman"/>
          <w:sz w:val="24"/>
          <w:szCs w:val="24"/>
        </w:rPr>
        <w:t>宿迁市政府采购网、宿迁市公共资源交易平台、江苏省财政部门指定的媒体。</w:t>
      </w:r>
    </w:p>
    <w:p w14:paraId="6D034C75">
      <w:pPr>
        <w:keepNext/>
        <w:keepLines/>
        <w:spacing w:line="360" w:lineRule="auto"/>
        <w:ind w:firstLine="436"/>
        <w:outlineLvl w:val="2"/>
        <w:rPr>
          <w:rFonts w:ascii="Times New Roman" w:hAnsi="Times New Roman"/>
          <w:b/>
          <w:bCs/>
          <w:sz w:val="28"/>
          <w:szCs w:val="28"/>
        </w:rPr>
      </w:pPr>
      <w:bookmarkStart w:id="49" w:name="_Toc22993"/>
      <w:r>
        <w:rPr>
          <w:rFonts w:ascii="Times New Roman" w:hAnsi="Times New Roman"/>
          <w:b/>
          <w:bCs/>
          <w:sz w:val="28"/>
          <w:szCs w:val="28"/>
        </w:rPr>
        <w:t>六、其他补充事宜</w:t>
      </w:r>
      <w:bookmarkEnd w:id="46"/>
      <w:bookmarkEnd w:id="47"/>
      <w:bookmarkEnd w:id="48"/>
      <w:bookmarkEnd w:id="49"/>
    </w:p>
    <w:p w14:paraId="773EACDA">
      <w:pPr>
        <w:spacing w:line="360" w:lineRule="auto"/>
        <w:ind w:firstLine="480"/>
        <w:rPr>
          <w:rFonts w:ascii="Times New Roman" w:hAnsi="Times New Roman"/>
          <w:sz w:val="24"/>
          <w:szCs w:val="24"/>
        </w:rPr>
      </w:pPr>
      <w:bookmarkStart w:id="50" w:name="EB64e1f522fd8c43fcb4d3ba471386b3e7"/>
      <w:r>
        <w:rPr>
          <w:rFonts w:ascii="Times New Roman" w:hAnsi="Times New Roman"/>
          <w:sz w:val="24"/>
          <w:szCs w:val="24"/>
        </w:rPr>
        <w:t>1.财政部门监督电话：0527-85229058。</w:t>
      </w:r>
    </w:p>
    <w:p w14:paraId="38377D6E">
      <w:pPr>
        <w:spacing w:line="360" w:lineRule="auto"/>
        <w:ind w:firstLine="480"/>
        <w:rPr>
          <w:rFonts w:ascii="Times New Roman" w:hAnsi="Times New Roman"/>
          <w:sz w:val="24"/>
          <w:szCs w:val="24"/>
        </w:rPr>
      </w:pPr>
      <w:r>
        <w:rPr>
          <w:rFonts w:ascii="Times New Roman" w:hAnsi="Times New Roman"/>
          <w:sz w:val="24"/>
          <w:szCs w:val="24"/>
        </w:rPr>
        <w:t>2.“CA”数字证书办理：“苏采云”系统目前仅支持“苏采云”系统下的政务CA。省内各地区办理的“苏采云”系统下的政务CA全省通用。宿迁地区CA数字证书办理联系方式：</w:t>
      </w:r>
      <w:r>
        <w:rPr>
          <w:rFonts w:hint="eastAsia" w:ascii="Times New Roman" w:hAnsi="Times New Roman"/>
          <w:sz w:val="24"/>
          <w:szCs w:val="24"/>
          <w:lang w:eastAsia="zh-CN"/>
        </w:rPr>
        <w:t>18351098172</w:t>
      </w:r>
      <w:r>
        <w:rPr>
          <w:rFonts w:ascii="Times New Roman" w:hAnsi="Times New Roman"/>
          <w:sz w:val="24"/>
          <w:szCs w:val="24"/>
        </w:rPr>
        <w:t>。</w:t>
      </w:r>
    </w:p>
    <w:p w14:paraId="4A452674">
      <w:pPr>
        <w:pStyle w:val="296"/>
        <w:spacing w:line="360" w:lineRule="auto"/>
        <w:ind w:firstLine="480"/>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t>3.宿迁地区“苏采云”技术支持客服电话：0527-</w:t>
      </w:r>
      <w:r>
        <w:rPr>
          <w:rFonts w:hint="eastAsia" w:ascii="Times New Roman" w:hAnsi="Times New Roman" w:eastAsia="宋体" w:cs="Times New Roman"/>
          <w:sz w:val="24"/>
          <w:szCs w:val="24"/>
          <w:lang w:val="en-US"/>
        </w:rPr>
        <w:t>84363067</w:t>
      </w:r>
      <w:r>
        <w:rPr>
          <w:rFonts w:ascii="Times New Roman" w:hAnsi="Times New Roman" w:eastAsia="宋体" w:cs="Times New Roman"/>
          <w:sz w:val="24"/>
          <w:szCs w:val="24"/>
          <w:lang w:val="en-US"/>
        </w:rPr>
        <w:t>、0519-86722806。</w:t>
      </w:r>
    </w:p>
    <w:p w14:paraId="55906EED">
      <w:pPr>
        <w:pStyle w:val="296"/>
        <w:spacing w:line="360" w:lineRule="auto"/>
        <w:ind w:firstLine="480"/>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t>4.如果供应商通过苏采云系统参与政府采购项目，相关操作手册详见链接：</w:t>
      </w:r>
      <w:r>
        <w:rPr>
          <w:rFonts w:ascii="Times New Roman" w:hAnsi="Times New Roman" w:eastAsia="宋体" w:cs="Times New Roman"/>
          <w:spacing w:val="-6"/>
          <w:sz w:val="24"/>
          <w:szCs w:val="24"/>
          <w:lang w:val="en-US"/>
        </w:rPr>
        <w:t>http://www.ccgp-jiangsu.gov.cn/jiangsu/zlxz/ee/ee3a4bc5a3454aa2b0d9312230633ce9.html。</w:t>
      </w:r>
      <w:bookmarkEnd w:id="50"/>
    </w:p>
    <w:p w14:paraId="703DB8E3">
      <w:pPr>
        <w:spacing w:line="360" w:lineRule="auto"/>
        <w:ind w:firstLine="480"/>
        <w:rPr>
          <w:rFonts w:ascii="Times New Roman" w:hAnsi="Times New Roman"/>
          <w:sz w:val="24"/>
          <w:szCs w:val="24"/>
        </w:rPr>
      </w:pPr>
      <w:r>
        <w:rPr>
          <w:rFonts w:ascii="Times New Roman" w:hAnsi="Times New Roman"/>
          <w:sz w:val="24"/>
          <w:szCs w:val="24"/>
        </w:rPr>
        <w:t>5.现场勘察及答疑：本项目不组织集中勘察及答疑，供应商如对采购需求有疑问，请咨询采购单位联系人。</w:t>
      </w:r>
    </w:p>
    <w:p w14:paraId="0C43E4F4">
      <w:pPr>
        <w:spacing w:line="360" w:lineRule="auto"/>
        <w:ind w:firstLine="480"/>
        <w:rPr>
          <w:rFonts w:hint="eastAsia" w:ascii="Times New Roman" w:hAnsi="Times New Roman"/>
          <w:b/>
          <w:bCs/>
          <w:sz w:val="24"/>
          <w:szCs w:val="24"/>
          <w:lang w:val="en-US" w:eastAsia="zh-CN"/>
        </w:rPr>
      </w:pPr>
      <w:r>
        <w:rPr>
          <w:rFonts w:hint="eastAsia" w:ascii="Times New Roman" w:hAnsi="Times New Roman"/>
          <w:b/>
          <w:bCs/>
          <w:sz w:val="24"/>
          <w:szCs w:val="24"/>
          <w:lang w:val="en-US" w:eastAsia="zh-CN"/>
        </w:rPr>
        <w:t>6</w:t>
      </w:r>
      <w:r>
        <w:rPr>
          <w:rFonts w:ascii="Times New Roman" w:hAnsi="Times New Roman"/>
          <w:b/>
          <w:bCs/>
          <w:sz w:val="24"/>
          <w:szCs w:val="24"/>
        </w:rPr>
        <w:t>.</w:t>
      </w:r>
      <w:r>
        <w:rPr>
          <w:rFonts w:hint="eastAsia" w:ascii="Times New Roman" w:hAnsi="Times New Roman"/>
          <w:b/>
          <w:bCs/>
          <w:sz w:val="24"/>
          <w:szCs w:val="24"/>
          <w:lang w:val="en-US" w:eastAsia="zh-CN"/>
        </w:rPr>
        <w:t>特别要求：</w:t>
      </w:r>
    </w:p>
    <w:p w14:paraId="444FB1B5">
      <w:pPr>
        <w:spacing w:line="360" w:lineRule="auto"/>
        <w:ind w:firstLine="480"/>
        <w:rPr>
          <w:rFonts w:hint="eastAsia" w:ascii="Times New Roman" w:hAnsi="Times New Roman"/>
          <w:b/>
          <w:bCs/>
          <w:sz w:val="24"/>
          <w:szCs w:val="24"/>
          <w:lang w:val="en-US" w:eastAsia="zh-CN"/>
        </w:rPr>
      </w:pPr>
      <w:r>
        <w:rPr>
          <w:rFonts w:hint="eastAsia" w:ascii="Times New Roman" w:hAnsi="Times New Roman"/>
          <w:b/>
          <w:bCs/>
          <w:sz w:val="24"/>
          <w:szCs w:val="24"/>
          <w:lang w:val="en-US" w:eastAsia="zh-CN"/>
        </w:rPr>
        <w:t>（1）因“</w:t>
      </w:r>
      <w:r>
        <w:rPr>
          <w:rFonts w:hint="eastAsia" w:ascii="宋体" w:hAnsi="宋体" w:cs="仿宋"/>
          <w:b/>
          <w:bCs/>
          <w:kern w:val="0"/>
          <w:sz w:val="24"/>
          <w:lang w:val="en-US" w:eastAsia="zh-CN" w:bidi="ar"/>
        </w:rPr>
        <w:t>江苏莱硕农业科技有限公司</w:t>
      </w:r>
      <w:r>
        <w:rPr>
          <w:rFonts w:hint="eastAsia" w:ascii="Times New Roman" w:hAnsi="Times New Roman"/>
          <w:b/>
          <w:bCs/>
          <w:sz w:val="24"/>
          <w:szCs w:val="24"/>
          <w:lang w:val="en-US" w:eastAsia="zh-CN"/>
        </w:rPr>
        <w:t>”在本项目首次采购中标采购包1后放弃中标，本次不接受其参与本采购包的采购活动。</w:t>
      </w:r>
    </w:p>
    <w:p w14:paraId="0B4F42F9">
      <w:pPr>
        <w:spacing w:line="360" w:lineRule="auto"/>
        <w:ind w:firstLine="480"/>
        <w:rPr>
          <w:rFonts w:hint="default" w:ascii="Times New Roman" w:hAnsi="Times New Roman" w:eastAsia="宋体"/>
          <w:b/>
          <w:bCs/>
          <w:sz w:val="24"/>
          <w:szCs w:val="24"/>
          <w:lang w:val="en-US" w:eastAsia="zh-CN"/>
        </w:rPr>
      </w:pPr>
      <w:r>
        <w:rPr>
          <w:rFonts w:hint="eastAsia" w:ascii="Times New Roman" w:hAnsi="Times New Roman"/>
          <w:b/>
          <w:bCs/>
          <w:sz w:val="24"/>
          <w:szCs w:val="24"/>
          <w:lang w:val="en-US" w:eastAsia="zh-CN"/>
        </w:rPr>
        <w:t>（2）因“江苏华东有色深部地质勘查有限责任公司(江苏省有色金属华东地质勘查局资源调查与评价研究院)”已在本项目首次采购时中标采购包2，鉴于本项目设定的多采购包不能兼中原则，本次不接受其参与本采购包的采购活动。</w:t>
      </w:r>
    </w:p>
    <w:p w14:paraId="59B061EF">
      <w:pPr>
        <w:keepNext/>
        <w:keepLines/>
        <w:spacing w:line="360" w:lineRule="auto"/>
        <w:ind w:firstLine="436"/>
        <w:outlineLvl w:val="2"/>
        <w:rPr>
          <w:rFonts w:ascii="Times New Roman" w:hAnsi="Times New Roman"/>
          <w:b/>
          <w:bCs/>
          <w:sz w:val="28"/>
          <w:szCs w:val="28"/>
        </w:rPr>
      </w:pPr>
      <w:bookmarkStart w:id="51" w:name="_Toc35393796"/>
      <w:bookmarkStart w:id="52" w:name="_Toc28359008"/>
      <w:bookmarkStart w:id="53" w:name="_Toc35393627"/>
      <w:bookmarkStart w:id="54" w:name="_Toc2896"/>
      <w:bookmarkStart w:id="55" w:name="_Toc28359085"/>
      <w:bookmarkStart w:id="56" w:name="_Toc38985269"/>
      <w:r>
        <w:rPr>
          <w:rFonts w:ascii="Times New Roman" w:hAnsi="Times New Roman"/>
          <w:b/>
          <w:bCs/>
          <w:sz w:val="28"/>
          <w:szCs w:val="28"/>
        </w:rPr>
        <w:t>七、本次磋商联系方式</w:t>
      </w:r>
      <w:bookmarkEnd w:id="51"/>
      <w:bookmarkEnd w:id="52"/>
      <w:bookmarkEnd w:id="53"/>
      <w:bookmarkEnd w:id="54"/>
      <w:bookmarkEnd w:id="55"/>
      <w:bookmarkEnd w:id="56"/>
    </w:p>
    <w:p w14:paraId="531B0BA4">
      <w:pPr>
        <w:spacing w:line="360" w:lineRule="auto"/>
        <w:ind w:firstLine="480"/>
        <w:rPr>
          <w:rFonts w:ascii="Times New Roman" w:hAnsi="Times New Roman"/>
          <w:sz w:val="24"/>
          <w:szCs w:val="24"/>
        </w:rPr>
      </w:pPr>
      <w:r>
        <w:rPr>
          <w:rFonts w:ascii="Times New Roman" w:hAnsi="Times New Roman"/>
          <w:sz w:val="24"/>
          <w:szCs w:val="24"/>
        </w:rPr>
        <w:t>1.采购人信息</w:t>
      </w:r>
    </w:p>
    <w:p w14:paraId="63DD77FB">
      <w:pPr>
        <w:spacing w:line="360" w:lineRule="auto"/>
        <w:ind w:firstLine="480"/>
        <w:rPr>
          <w:rFonts w:ascii="Times New Roman" w:hAnsi="Times New Roman"/>
          <w:sz w:val="24"/>
          <w:szCs w:val="24"/>
        </w:rPr>
      </w:pPr>
      <w:r>
        <w:rPr>
          <w:rFonts w:ascii="Times New Roman" w:hAnsi="Times New Roman"/>
          <w:sz w:val="24"/>
          <w:szCs w:val="24"/>
        </w:rPr>
        <w:t>名称：</w:t>
      </w:r>
      <w:r>
        <w:rPr>
          <w:rFonts w:hint="eastAsia" w:ascii="Times New Roman" w:hAnsi="Times New Roman"/>
          <w:sz w:val="24"/>
          <w:szCs w:val="24"/>
        </w:rPr>
        <w:t>泗阳县农业技术推广中心</w:t>
      </w:r>
    </w:p>
    <w:p w14:paraId="0953FC21">
      <w:pPr>
        <w:spacing w:line="360" w:lineRule="auto"/>
        <w:ind w:firstLine="480"/>
        <w:rPr>
          <w:rFonts w:ascii="Times New Roman" w:hAnsi="Times New Roman"/>
          <w:sz w:val="24"/>
          <w:szCs w:val="24"/>
        </w:rPr>
      </w:pPr>
      <w:r>
        <w:rPr>
          <w:rFonts w:ascii="Times New Roman" w:hAnsi="Times New Roman"/>
          <w:sz w:val="24"/>
          <w:szCs w:val="24"/>
        </w:rPr>
        <w:t>地址：</w:t>
      </w:r>
      <w:r>
        <w:rPr>
          <w:rFonts w:hint="eastAsia" w:ascii="Times New Roman" w:hAnsi="Times New Roman"/>
          <w:sz w:val="24"/>
          <w:szCs w:val="24"/>
        </w:rPr>
        <w:t>泗阳县西康路与北京路交汇处　</w:t>
      </w:r>
    </w:p>
    <w:p w14:paraId="12CFC746">
      <w:pPr>
        <w:spacing w:line="360" w:lineRule="auto"/>
        <w:ind w:firstLine="480"/>
        <w:rPr>
          <w:rFonts w:ascii="Times New Roman" w:hAnsi="Times New Roman"/>
          <w:sz w:val="24"/>
          <w:szCs w:val="24"/>
        </w:rPr>
      </w:pPr>
      <w:r>
        <w:rPr>
          <w:rFonts w:ascii="Times New Roman" w:hAnsi="Times New Roman"/>
          <w:sz w:val="24"/>
          <w:szCs w:val="24"/>
        </w:rPr>
        <w:t>联系人：</w:t>
      </w:r>
      <w:r>
        <w:rPr>
          <w:rFonts w:hint="eastAsia" w:ascii="Times New Roman" w:hAnsi="Times New Roman"/>
          <w:sz w:val="24"/>
          <w:szCs w:val="24"/>
        </w:rPr>
        <w:t>孙楠</w:t>
      </w:r>
    </w:p>
    <w:p w14:paraId="5E483140">
      <w:pPr>
        <w:spacing w:line="360" w:lineRule="auto"/>
        <w:ind w:firstLine="480"/>
        <w:rPr>
          <w:rFonts w:ascii="Times New Roman" w:hAnsi="Times New Roman"/>
          <w:sz w:val="24"/>
          <w:szCs w:val="24"/>
        </w:rPr>
      </w:pPr>
      <w:bookmarkStart w:id="57" w:name="_Toc28359009"/>
      <w:bookmarkStart w:id="58" w:name="_Toc28359086"/>
      <w:r>
        <w:rPr>
          <w:rFonts w:ascii="Times New Roman" w:hAnsi="Times New Roman"/>
          <w:sz w:val="24"/>
          <w:szCs w:val="24"/>
        </w:rPr>
        <w:t>联系方式</w:t>
      </w:r>
      <w:r>
        <w:rPr>
          <w:rFonts w:hint="eastAsia" w:ascii="Times New Roman" w:hAnsi="Times New Roman"/>
          <w:sz w:val="24"/>
          <w:szCs w:val="24"/>
        </w:rPr>
        <w:t>：0527-88765981</w:t>
      </w:r>
    </w:p>
    <w:p w14:paraId="0678C8C1">
      <w:pPr>
        <w:spacing w:line="360" w:lineRule="auto"/>
        <w:ind w:firstLine="480"/>
        <w:rPr>
          <w:rFonts w:ascii="Times New Roman" w:hAnsi="Times New Roman"/>
          <w:sz w:val="24"/>
          <w:szCs w:val="24"/>
        </w:rPr>
      </w:pPr>
      <w:r>
        <w:rPr>
          <w:rFonts w:ascii="Times New Roman" w:hAnsi="Times New Roman"/>
          <w:sz w:val="24"/>
          <w:szCs w:val="24"/>
        </w:rPr>
        <w:t>采购代理机构信息</w:t>
      </w:r>
      <w:bookmarkEnd w:id="57"/>
      <w:bookmarkEnd w:id="58"/>
    </w:p>
    <w:p w14:paraId="761AEE35">
      <w:pPr>
        <w:spacing w:line="360" w:lineRule="auto"/>
        <w:ind w:firstLine="480"/>
        <w:rPr>
          <w:rFonts w:ascii="Times New Roman" w:hAnsi="Times New Roman"/>
          <w:sz w:val="24"/>
          <w:szCs w:val="24"/>
        </w:rPr>
      </w:pPr>
      <w:bookmarkStart w:id="59" w:name="_Toc28359087"/>
      <w:bookmarkStart w:id="60" w:name="_Toc28359010"/>
      <w:r>
        <w:rPr>
          <w:rFonts w:ascii="Times New Roman" w:hAnsi="Times New Roman"/>
          <w:sz w:val="24"/>
          <w:szCs w:val="24"/>
        </w:rPr>
        <w:t>名称：江苏志诚工程咨询管理有限公司</w:t>
      </w:r>
    </w:p>
    <w:p w14:paraId="0B2A596E">
      <w:pPr>
        <w:spacing w:line="360" w:lineRule="auto"/>
        <w:ind w:firstLine="480"/>
        <w:rPr>
          <w:rFonts w:ascii="Times New Roman" w:hAnsi="Times New Roman"/>
          <w:sz w:val="24"/>
          <w:szCs w:val="24"/>
        </w:rPr>
      </w:pPr>
      <w:r>
        <w:rPr>
          <w:rFonts w:ascii="Times New Roman" w:hAnsi="Times New Roman"/>
          <w:sz w:val="24"/>
          <w:szCs w:val="24"/>
        </w:rPr>
        <w:t>地址：</w:t>
      </w:r>
      <w:r>
        <w:rPr>
          <w:rFonts w:hint="eastAsia" w:ascii="Times New Roman" w:hAnsi="Times New Roman"/>
          <w:sz w:val="24"/>
          <w:szCs w:val="24"/>
        </w:rPr>
        <w:t>泗阳县泗水古城商业街B段02栋三楼</w:t>
      </w:r>
    </w:p>
    <w:p w14:paraId="539DEC87">
      <w:pPr>
        <w:spacing w:line="360" w:lineRule="auto"/>
        <w:ind w:firstLine="480"/>
        <w:rPr>
          <w:rFonts w:ascii="Times New Roman" w:hAnsi="Times New Roman"/>
          <w:sz w:val="24"/>
          <w:szCs w:val="24"/>
        </w:rPr>
      </w:pPr>
      <w:r>
        <w:rPr>
          <w:rFonts w:ascii="Times New Roman" w:hAnsi="Times New Roman"/>
          <w:sz w:val="24"/>
          <w:szCs w:val="24"/>
        </w:rPr>
        <w:t>联系人</w:t>
      </w:r>
      <w:r>
        <w:rPr>
          <w:rFonts w:hint="eastAsia" w:ascii="Times New Roman" w:hAnsi="Times New Roman"/>
          <w:sz w:val="24"/>
          <w:szCs w:val="24"/>
        </w:rPr>
        <w:t>：杨欣荣</w:t>
      </w:r>
    </w:p>
    <w:p w14:paraId="018B19E5">
      <w:pPr>
        <w:spacing w:line="360" w:lineRule="auto"/>
        <w:ind w:firstLine="480"/>
        <w:rPr>
          <w:rFonts w:ascii="Times New Roman" w:hAnsi="Times New Roman"/>
          <w:sz w:val="24"/>
          <w:szCs w:val="24"/>
        </w:rPr>
      </w:pPr>
      <w:r>
        <w:rPr>
          <w:rFonts w:ascii="Times New Roman" w:hAnsi="Times New Roman"/>
          <w:sz w:val="24"/>
          <w:szCs w:val="24"/>
        </w:rPr>
        <w:t>联系方式：</w:t>
      </w:r>
      <w:r>
        <w:rPr>
          <w:rFonts w:hint="eastAsia" w:ascii="Times New Roman" w:hAnsi="Times New Roman"/>
          <w:sz w:val="24"/>
          <w:szCs w:val="24"/>
        </w:rPr>
        <w:t>0527-85221718    15051004756</w:t>
      </w:r>
      <w:bookmarkEnd w:id="59"/>
      <w:bookmarkEnd w:id="60"/>
    </w:p>
    <w:p w14:paraId="0C522151">
      <w:pPr>
        <w:keepNext/>
        <w:keepLines/>
        <w:spacing w:line="360" w:lineRule="auto"/>
        <w:ind w:firstLine="436"/>
        <w:outlineLvl w:val="2"/>
        <w:rPr>
          <w:rFonts w:ascii="Times New Roman" w:hAnsi="Times New Roman"/>
          <w:b/>
          <w:bCs/>
          <w:sz w:val="28"/>
          <w:szCs w:val="28"/>
        </w:rPr>
      </w:pPr>
      <w:bookmarkStart w:id="61" w:name="_Toc14289"/>
      <w:r>
        <w:rPr>
          <w:rFonts w:ascii="Times New Roman" w:hAnsi="Times New Roman"/>
          <w:b/>
          <w:bCs/>
          <w:sz w:val="28"/>
          <w:szCs w:val="28"/>
        </w:rPr>
        <w:t>八、其他</w:t>
      </w:r>
      <w:bookmarkEnd w:id="61"/>
    </w:p>
    <w:p w14:paraId="45236CA3">
      <w:pPr>
        <w:spacing w:line="360" w:lineRule="auto"/>
        <w:ind w:firstLine="480"/>
        <w:rPr>
          <w:rFonts w:ascii="Times New Roman" w:hAnsi="Times New Roman"/>
          <w:sz w:val="24"/>
          <w:szCs w:val="24"/>
        </w:rPr>
      </w:pPr>
      <w:r>
        <w:rPr>
          <w:rFonts w:ascii="Times New Roman" w:hAnsi="Times New Roman"/>
          <w:sz w:val="24"/>
          <w:szCs w:val="24"/>
        </w:rPr>
        <w:t>1.有关本次采购的事项若存在变动或修改，敬请及时关注“宿迁市政府采购网”等平台更正公告。</w:t>
      </w:r>
    </w:p>
    <w:p w14:paraId="3682C901">
      <w:pPr>
        <w:spacing w:line="360" w:lineRule="auto"/>
        <w:ind w:firstLine="480"/>
        <w:rPr>
          <w:rFonts w:ascii="Times New Roman" w:hAnsi="Times New Roman"/>
          <w:sz w:val="24"/>
          <w:szCs w:val="24"/>
        </w:rPr>
      </w:pPr>
      <w:r>
        <w:rPr>
          <w:rFonts w:ascii="Times New Roman" w:hAnsi="Times New Roman"/>
          <w:sz w:val="24"/>
          <w:szCs w:val="24"/>
        </w:rPr>
        <w:t>2.本次磋商不收取磋商保证金。</w:t>
      </w:r>
    </w:p>
    <w:p w14:paraId="5DA34578">
      <w:pPr>
        <w:keepNext/>
        <w:jc w:val="center"/>
        <w:outlineLvl w:val="0"/>
        <w:rPr>
          <w:rFonts w:ascii="Times New Roman" w:hAnsi="Times New Roman"/>
          <w:b/>
          <w:bCs/>
          <w:sz w:val="44"/>
          <w:szCs w:val="44"/>
        </w:rPr>
      </w:pPr>
      <w:bookmarkStart w:id="62" w:name="_Toc120614211"/>
      <w:r>
        <w:rPr>
          <w:rFonts w:ascii="Times New Roman" w:hAnsi="Times New Roman"/>
          <w:b/>
          <w:bCs/>
          <w:sz w:val="44"/>
          <w:szCs w:val="44"/>
        </w:rPr>
        <w:br w:type="page" w:clear="all"/>
      </w:r>
      <w:bookmarkStart w:id="63" w:name="_Toc17792"/>
      <w:r>
        <w:rPr>
          <w:rFonts w:ascii="Times New Roman" w:hAnsi="Times New Roman"/>
          <w:b/>
          <w:sz w:val="44"/>
          <w:szCs w:val="44"/>
        </w:rPr>
        <w:t xml:space="preserve">第二章  </w:t>
      </w:r>
      <w:bookmarkEnd w:id="8"/>
      <w:bookmarkEnd w:id="9"/>
      <w:bookmarkEnd w:id="10"/>
      <w:bookmarkEnd w:id="11"/>
      <w:bookmarkEnd w:id="12"/>
      <w:bookmarkEnd w:id="62"/>
      <w:r>
        <w:rPr>
          <w:rFonts w:ascii="Times New Roman" w:hAnsi="Times New Roman"/>
          <w:b/>
          <w:sz w:val="44"/>
          <w:szCs w:val="44"/>
        </w:rPr>
        <w:t>供应商须知</w:t>
      </w:r>
      <w:bookmarkEnd w:id="63"/>
    </w:p>
    <w:p w14:paraId="08156DDF">
      <w:pPr>
        <w:keepNext/>
        <w:keepLines/>
        <w:spacing w:line="560" w:lineRule="exact"/>
        <w:ind w:firstLine="498"/>
        <w:outlineLvl w:val="2"/>
        <w:rPr>
          <w:rFonts w:ascii="Times New Roman" w:hAnsi="Times New Roman"/>
          <w:b/>
          <w:bCs/>
          <w:sz w:val="32"/>
          <w:szCs w:val="32"/>
        </w:rPr>
      </w:pPr>
      <w:bookmarkStart w:id="64" w:name="_Toc8273"/>
      <w:bookmarkStart w:id="65" w:name="_Toc16938519"/>
      <w:bookmarkStart w:id="66" w:name="_Toc120614214"/>
      <w:bookmarkStart w:id="67" w:name="_Toc513029203"/>
      <w:bookmarkStart w:id="68" w:name="_Toc20823275"/>
      <w:r>
        <w:rPr>
          <w:rFonts w:ascii="Times New Roman" w:hAnsi="Times New Roman"/>
          <w:b/>
          <w:bCs/>
          <w:sz w:val="32"/>
          <w:szCs w:val="32"/>
        </w:rPr>
        <w:t>一、总则</w:t>
      </w:r>
      <w:bookmarkEnd w:id="64"/>
      <w:bookmarkEnd w:id="65"/>
      <w:bookmarkEnd w:id="66"/>
      <w:bookmarkEnd w:id="67"/>
      <w:bookmarkEnd w:id="68"/>
    </w:p>
    <w:p w14:paraId="33A8F89F">
      <w:pPr>
        <w:keepNext/>
        <w:keepLines/>
        <w:spacing w:line="560" w:lineRule="exact"/>
        <w:ind w:firstLine="422"/>
        <w:outlineLvl w:val="3"/>
        <w:rPr>
          <w:rFonts w:ascii="Times New Roman" w:hAnsi="Times New Roman"/>
          <w:b/>
          <w:sz w:val="28"/>
          <w:szCs w:val="28"/>
        </w:rPr>
      </w:pPr>
      <w:bookmarkStart w:id="69" w:name="_Hlt16619475"/>
      <w:bookmarkEnd w:id="69"/>
      <w:bookmarkStart w:id="70" w:name="_Toc458694821"/>
      <w:bookmarkStart w:id="71" w:name="_Toc16938520"/>
      <w:bookmarkStart w:id="72" w:name="_Toc20823276"/>
      <w:bookmarkStart w:id="73" w:name="_Toc513029204"/>
      <w:r>
        <w:rPr>
          <w:rFonts w:ascii="Times New Roman" w:hAnsi="Times New Roman"/>
          <w:b/>
          <w:sz w:val="28"/>
          <w:szCs w:val="28"/>
        </w:rPr>
        <w:t>1</w:t>
      </w:r>
      <w:bookmarkEnd w:id="70"/>
      <w:r>
        <w:rPr>
          <w:rFonts w:ascii="Times New Roman" w:hAnsi="Times New Roman"/>
          <w:b/>
          <w:sz w:val="28"/>
          <w:szCs w:val="28"/>
        </w:rPr>
        <w:t>、采购方式</w:t>
      </w:r>
      <w:bookmarkEnd w:id="71"/>
      <w:bookmarkEnd w:id="72"/>
      <w:bookmarkEnd w:id="73"/>
    </w:p>
    <w:p w14:paraId="7EB46649">
      <w:pPr>
        <w:spacing w:line="560" w:lineRule="exact"/>
        <w:ind w:firstLine="480"/>
        <w:rPr>
          <w:rFonts w:ascii="Times New Roman" w:hAnsi="Times New Roman"/>
          <w:sz w:val="24"/>
          <w:szCs w:val="21"/>
        </w:rPr>
      </w:pPr>
      <w:r>
        <w:rPr>
          <w:rFonts w:ascii="Times New Roman" w:hAnsi="Times New Roman"/>
          <w:sz w:val="24"/>
          <w:szCs w:val="21"/>
        </w:rPr>
        <w:t>1.1 本次政府采购活动采取竞争性磋商(以下简称磋商)方式，本磋商文件仅适用于磋商公告中所述项目。</w:t>
      </w:r>
    </w:p>
    <w:p w14:paraId="516A001B">
      <w:pPr>
        <w:keepNext/>
        <w:keepLines/>
        <w:spacing w:line="560" w:lineRule="exact"/>
        <w:ind w:firstLine="422"/>
        <w:outlineLvl w:val="3"/>
        <w:rPr>
          <w:rFonts w:ascii="Times New Roman" w:hAnsi="Times New Roman"/>
          <w:b/>
          <w:sz w:val="28"/>
          <w:szCs w:val="28"/>
        </w:rPr>
      </w:pPr>
      <w:bookmarkStart w:id="74" w:name="_Toc513029205"/>
      <w:bookmarkStart w:id="75" w:name="_Toc20823277"/>
      <w:bookmarkStart w:id="76" w:name="_Toc16938521"/>
      <w:r>
        <w:rPr>
          <w:rFonts w:ascii="Times New Roman" w:hAnsi="Times New Roman"/>
          <w:b/>
          <w:sz w:val="28"/>
          <w:szCs w:val="28"/>
        </w:rPr>
        <w:t>2、合格的</w:t>
      </w:r>
      <w:bookmarkEnd w:id="74"/>
      <w:bookmarkEnd w:id="75"/>
      <w:bookmarkEnd w:id="76"/>
      <w:r>
        <w:rPr>
          <w:rFonts w:ascii="Times New Roman" w:hAnsi="Times New Roman"/>
          <w:b/>
          <w:sz w:val="28"/>
          <w:szCs w:val="28"/>
        </w:rPr>
        <w:t>供应商</w:t>
      </w:r>
    </w:p>
    <w:p w14:paraId="36E66707">
      <w:pPr>
        <w:spacing w:line="560" w:lineRule="exact"/>
        <w:ind w:firstLine="480"/>
        <w:rPr>
          <w:rFonts w:ascii="Times New Roman" w:hAnsi="Times New Roman"/>
          <w:sz w:val="24"/>
          <w:szCs w:val="21"/>
        </w:rPr>
      </w:pPr>
      <w:r>
        <w:rPr>
          <w:rFonts w:ascii="Times New Roman" w:hAnsi="Times New Roman"/>
          <w:sz w:val="24"/>
          <w:szCs w:val="21"/>
        </w:rPr>
        <w:t>2.1满足磋商公告中供应商资格要求的规定。</w:t>
      </w:r>
    </w:p>
    <w:p w14:paraId="72F4A204">
      <w:pPr>
        <w:spacing w:line="560" w:lineRule="exact"/>
        <w:ind w:firstLine="480"/>
        <w:rPr>
          <w:rFonts w:ascii="Times New Roman" w:hAnsi="Times New Roman"/>
          <w:sz w:val="24"/>
          <w:szCs w:val="21"/>
        </w:rPr>
      </w:pPr>
      <w:r>
        <w:rPr>
          <w:rFonts w:ascii="Times New Roman" w:hAnsi="Times New Roman"/>
          <w:sz w:val="24"/>
          <w:szCs w:val="21"/>
        </w:rPr>
        <w:t>2.2 满足本磋商文件实质性要求和条件的规定。</w:t>
      </w:r>
    </w:p>
    <w:p w14:paraId="1303D6EE">
      <w:pPr>
        <w:keepNext/>
        <w:keepLines/>
        <w:spacing w:line="560" w:lineRule="exact"/>
        <w:ind w:firstLine="422"/>
        <w:outlineLvl w:val="3"/>
        <w:rPr>
          <w:rFonts w:ascii="Times New Roman" w:hAnsi="Times New Roman"/>
          <w:b/>
          <w:sz w:val="28"/>
          <w:szCs w:val="28"/>
        </w:rPr>
      </w:pPr>
      <w:bookmarkStart w:id="77" w:name="_Toc513029206"/>
      <w:bookmarkStart w:id="78" w:name="_Toc20823278"/>
      <w:bookmarkStart w:id="79" w:name="_Toc16938522"/>
      <w:r>
        <w:rPr>
          <w:rFonts w:ascii="Times New Roman" w:hAnsi="Times New Roman"/>
          <w:b/>
          <w:sz w:val="28"/>
          <w:szCs w:val="28"/>
        </w:rPr>
        <w:t>3、适用法律</w:t>
      </w:r>
      <w:bookmarkEnd w:id="77"/>
      <w:bookmarkEnd w:id="78"/>
      <w:bookmarkEnd w:id="79"/>
    </w:p>
    <w:p w14:paraId="48083042">
      <w:pPr>
        <w:spacing w:line="560" w:lineRule="exact"/>
        <w:ind w:firstLine="480"/>
        <w:rPr>
          <w:rFonts w:ascii="Times New Roman" w:hAnsi="Times New Roman"/>
          <w:sz w:val="24"/>
          <w:szCs w:val="21"/>
        </w:rPr>
      </w:pPr>
      <w:r>
        <w:rPr>
          <w:rFonts w:ascii="Times New Roman" w:hAnsi="Times New Roman"/>
          <w:sz w:val="24"/>
          <w:szCs w:val="21"/>
        </w:rPr>
        <w:t>3.1 本次磋商及由此产生的合同受中华人民共和国有关的法律法规制约和保护。</w:t>
      </w:r>
    </w:p>
    <w:p w14:paraId="24C69390">
      <w:pPr>
        <w:keepNext/>
        <w:keepLines/>
        <w:spacing w:line="560" w:lineRule="exact"/>
        <w:ind w:firstLine="422"/>
        <w:outlineLvl w:val="3"/>
        <w:rPr>
          <w:rFonts w:ascii="Times New Roman" w:hAnsi="Times New Roman"/>
          <w:b/>
          <w:sz w:val="28"/>
          <w:szCs w:val="28"/>
        </w:rPr>
      </w:pPr>
      <w:bookmarkStart w:id="80" w:name="_Toc16938523"/>
      <w:bookmarkStart w:id="81" w:name="_Toc513029207"/>
      <w:bookmarkStart w:id="82" w:name="_Toc20823279"/>
      <w:bookmarkStart w:id="83" w:name="_Toc462564067"/>
      <w:r>
        <w:rPr>
          <w:rFonts w:ascii="Times New Roman" w:hAnsi="Times New Roman"/>
          <w:b/>
          <w:sz w:val="28"/>
          <w:szCs w:val="28"/>
        </w:rPr>
        <w:t>4、磋商费用</w:t>
      </w:r>
      <w:bookmarkEnd w:id="80"/>
      <w:bookmarkEnd w:id="81"/>
      <w:bookmarkEnd w:id="82"/>
      <w:bookmarkEnd w:id="83"/>
    </w:p>
    <w:p w14:paraId="2CB0DDBC">
      <w:pPr>
        <w:spacing w:line="560" w:lineRule="exact"/>
        <w:ind w:firstLine="480"/>
        <w:rPr>
          <w:rFonts w:ascii="Times New Roman" w:hAnsi="Times New Roman"/>
          <w:sz w:val="24"/>
          <w:szCs w:val="21"/>
        </w:rPr>
      </w:pPr>
      <w:r>
        <w:rPr>
          <w:rFonts w:ascii="Times New Roman" w:hAnsi="Times New Roman"/>
          <w:sz w:val="24"/>
          <w:szCs w:val="21"/>
        </w:rPr>
        <w:t>4.1供应商应自行承担所有与参加本次磋商有关的费用，无论磋商过程中的做法和结果如何，采购代理机构在任何情况下均无义务和责任承担这些费用。</w:t>
      </w:r>
    </w:p>
    <w:p w14:paraId="6C30DAF0">
      <w:pPr>
        <w:spacing w:line="560" w:lineRule="exact"/>
        <w:ind w:firstLine="480"/>
        <w:rPr>
          <w:rFonts w:ascii="Times New Roman" w:hAnsi="Times New Roman"/>
          <w:sz w:val="24"/>
          <w:szCs w:val="21"/>
        </w:rPr>
      </w:pPr>
      <w:r>
        <w:rPr>
          <w:rFonts w:ascii="Times New Roman" w:hAnsi="Times New Roman"/>
          <w:sz w:val="24"/>
          <w:szCs w:val="21"/>
        </w:rPr>
        <w:t>4.2代理费用收取方式及标准：按以下第</w:t>
      </w:r>
      <w:r>
        <w:rPr>
          <w:rFonts w:ascii="Times New Roman" w:hAnsi="Times New Roman"/>
          <w:sz w:val="24"/>
          <w:szCs w:val="21"/>
          <w:u w:val="single"/>
          <w:lang w:val="zh-CN"/>
        </w:rPr>
        <w:t>4.2.2</w:t>
      </w:r>
      <w:r>
        <w:rPr>
          <w:rFonts w:ascii="Times New Roman" w:hAnsi="Times New Roman"/>
          <w:sz w:val="24"/>
          <w:szCs w:val="21"/>
        </w:rPr>
        <w:t>种方式执行</w:t>
      </w:r>
    </w:p>
    <w:p w14:paraId="48670C81">
      <w:pPr>
        <w:spacing w:line="560" w:lineRule="exact"/>
        <w:ind w:firstLine="480"/>
        <w:rPr>
          <w:rFonts w:ascii="Times New Roman" w:hAnsi="Times New Roman"/>
          <w:sz w:val="24"/>
          <w:szCs w:val="21"/>
          <w:lang w:val="zh-CN"/>
        </w:rPr>
      </w:pPr>
      <w:r>
        <w:rPr>
          <w:rFonts w:ascii="Times New Roman" w:hAnsi="Times New Roman"/>
          <w:sz w:val="24"/>
          <w:szCs w:val="21"/>
          <w:lang w:val="zh-CN"/>
        </w:rPr>
        <w:t>4.2.1无需支付；</w:t>
      </w:r>
    </w:p>
    <w:p w14:paraId="42556B89">
      <w:pPr>
        <w:spacing w:line="560" w:lineRule="exact"/>
        <w:ind w:firstLine="480"/>
        <w:rPr>
          <w:rFonts w:ascii="Times New Roman" w:hAnsi="Times New Roman"/>
          <w:sz w:val="24"/>
          <w:szCs w:val="21"/>
        </w:rPr>
      </w:pPr>
      <w:r>
        <w:rPr>
          <w:rFonts w:ascii="Times New Roman" w:hAnsi="Times New Roman"/>
          <w:sz w:val="24"/>
          <w:szCs w:val="21"/>
          <w:lang w:val="zh-CN"/>
        </w:rPr>
        <w:t>4.2.2</w:t>
      </w:r>
      <w:r>
        <w:rPr>
          <w:rFonts w:hint="eastAsia"/>
          <w:sz w:val="24"/>
          <w:szCs w:val="24"/>
        </w:rPr>
        <w:t>由中标人支付，具体方式及标准为：按照财库【2018】2号文件规定，招标代理费由中标、成交供应商支付，</w:t>
      </w:r>
      <w:r>
        <w:rPr>
          <w:rFonts w:hint="eastAsia" w:ascii="Times New Roman" w:hAnsi="Times New Roman"/>
          <w:sz w:val="24"/>
          <w:szCs w:val="24"/>
        </w:rPr>
        <w:t xml:space="preserve">招标代理费参照《关于印发〈江苏省招标代理服务收费的指导意见〉的通知》(苏招协[2022]002号)文件规定的标准下浮30%收取。支付方式可以通过转账、现金、数字人民币等方式。 </w:t>
      </w:r>
    </w:p>
    <w:p w14:paraId="3077A97F">
      <w:pPr>
        <w:keepNext/>
        <w:keepLines/>
        <w:spacing w:line="560" w:lineRule="exact"/>
        <w:ind w:firstLine="422"/>
        <w:outlineLvl w:val="3"/>
        <w:rPr>
          <w:rFonts w:ascii="Times New Roman" w:hAnsi="Times New Roman"/>
          <w:b/>
          <w:sz w:val="28"/>
          <w:szCs w:val="28"/>
        </w:rPr>
      </w:pPr>
      <w:r>
        <w:rPr>
          <w:rFonts w:ascii="Times New Roman" w:hAnsi="Times New Roman"/>
          <w:b/>
          <w:sz w:val="28"/>
          <w:szCs w:val="28"/>
        </w:rPr>
        <w:t>5、磋商文件的约束力</w:t>
      </w:r>
    </w:p>
    <w:p w14:paraId="78387373">
      <w:pPr>
        <w:spacing w:line="560" w:lineRule="exact"/>
        <w:ind w:firstLine="480"/>
        <w:rPr>
          <w:rFonts w:ascii="Times New Roman" w:hAnsi="Times New Roman"/>
          <w:sz w:val="24"/>
          <w:szCs w:val="24"/>
        </w:rPr>
      </w:pPr>
      <w:r>
        <w:rPr>
          <w:rFonts w:ascii="Times New Roman" w:hAnsi="Times New Roman"/>
          <w:bCs/>
          <w:sz w:val="24"/>
          <w:szCs w:val="24"/>
        </w:rPr>
        <w:t>5.1</w:t>
      </w:r>
      <w:r>
        <w:rPr>
          <w:rFonts w:ascii="Times New Roman" w:hAnsi="Times New Roman"/>
          <w:sz w:val="24"/>
          <w:szCs w:val="24"/>
        </w:rPr>
        <w:t>供应商一旦参加本项目采购活动，即被认为接受了本磋商文件的规定和约束。</w:t>
      </w:r>
    </w:p>
    <w:p w14:paraId="24CFD90D">
      <w:pPr>
        <w:keepNext/>
        <w:keepLines/>
        <w:spacing w:line="560" w:lineRule="exact"/>
        <w:ind w:firstLine="321"/>
        <w:outlineLvl w:val="2"/>
        <w:rPr>
          <w:rFonts w:ascii="Times New Roman" w:hAnsi="Times New Roman"/>
          <w:b/>
          <w:bCs/>
          <w:sz w:val="32"/>
          <w:szCs w:val="32"/>
        </w:rPr>
      </w:pPr>
      <w:bookmarkStart w:id="84" w:name="_Toc20823281"/>
      <w:bookmarkStart w:id="85" w:name="_Toc513029209"/>
      <w:bookmarkStart w:id="86" w:name="_Toc120614215"/>
      <w:bookmarkStart w:id="87" w:name="_Toc16938525"/>
      <w:bookmarkStart w:id="88" w:name="_Toc3060"/>
      <w:r>
        <w:rPr>
          <w:rFonts w:ascii="Times New Roman" w:hAnsi="Times New Roman"/>
          <w:b/>
          <w:bCs/>
          <w:sz w:val="32"/>
          <w:szCs w:val="32"/>
        </w:rPr>
        <w:t>二、</w:t>
      </w:r>
      <w:bookmarkEnd w:id="84"/>
      <w:bookmarkEnd w:id="85"/>
      <w:bookmarkEnd w:id="86"/>
      <w:bookmarkEnd w:id="87"/>
      <w:r>
        <w:rPr>
          <w:rFonts w:ascii="Times New Roman" w:hAnsi="Times New Roman"/>
          <w:b/>
          <w:bCs/>
          <w:sz w:val="32"/>
          <w:szCs w:val="32"/>
        </w:rPr>
        <w:t>磋商文件</w:t>
      </w:r>
      <w:bookmarkEnd w:id="88"/>
    </w:p>
    <w:p w14:paraId="545C542D">
      <w:pPr>
        <w:keepNext/>
        <w:keepLines/>
        <w:spacing w:line="560" w:lineRule="exact"/>
        <w:ind w:firstLine="422"/>
        <w:outlineLvl w:val="3"/>
        <w:rPr>
          <w:rFonts w:ascii="Times New Roman" w:hAnsi="Times New Roman"/>
          <w:b/>
          <w:sz w:val="28"/>
          <w:szCs w:val="28"/>
        </w:rPr>
      </w:pPr>
      <w:bookmarkStart w:id="89" w:name="_Toc513029210"/>
      <w:bookmarkStart w:id="90" w:name="_Toc16938526"/>
      <w:bookmarkStart w:id="91" w:name="_Toc20823282"/>
      <w:r>
        <w:rPr>
          <w:rFonts w:ascii="Times New Roman" w:hAnsi="Times New Roman"/>
          <w:b/>
          <w:sz w:val="28"/>
          <w:szCs w:val="28"/>
        </w:rPr>
        <w:t>6、磋商文件构成</w:t>
      </w:r>
      <w:bookmarkEnd w:id="89"/>
      <w:bookmarkEnd w:id="90"/>
      <w:bookmarkEnd w:id="91"/>
    </w:p>
    <w:p w14:paraId="6D12D317">
      <w:pPr>
        <w:spacing w:line="560" w:lineRule="exact"/>
        <w:ind w:firstLine="480"/>
        <w:rPr>
          <w:rFonts w:ascii="Times New Roman" w:hAnsi="Times New Roman"/>
          <w:bCs/>
          <w:sz w:val="24"/>
          <w:szCs w:val="24"/>
        </w:rPr>
      </w:pPr>
      <w:r>
        <w:rPr>
          <w:rFonts w:ascii="Times New Roman" w:hAnsi="Times New Roman"/>
          <w:bCs/>
          <w:sz w:val="24"/>
          <w:szCs w:val="24"/>
        </w:rPr>
        <w:t>6.1磋商文件由以下部分组成：</w:t>
      </w:r>
    </w:p>
    <w:p w14:paraId="1A087F88">
      <w:pPr>
        <w:spacing w:line="560" w:lineRule="exact"/>
        <w:ind w:firstLine="480"/>
        <w:rPr>
          <w:rFonts w:ascii="Times New Roman" w:hAnsi="Times New Roman"/>
          <w:bCs/>
          <w:sz w:val="24"/>
          <w:szCs w:val="24"/>
        </w:rPr>
      </w:pPr>
      <w:r>
        <w:rPr>
          <w:rFonts w:ascii="Times New Roman" w:hAnsi="Times New Roman"/>
          <w:bCs/>
          <w:sz w:val="24"/>
          <w:szCs w:val="24"/>
        </w:rPr>
        <w:t>（1）磋商邀请</w:t>
      </w:r>
    </w:p>
    <w:p w14:paraId="2DE85CFB">
      <w:pPr>
        <w:spacing w:line="560" w:lineRule="exact"/>
        <w:ind w:firstLine="480"/>
        <w:rPr>
          <w:rFonts w:ascii="Times New Roman" w:hAnsi="Times New Roman"/>
          <w:bCs/>
          <w:sz w:val="24"/>
          <w:szCs w:val="24"/>
        </w:rPr>
      </w:pPr>
      <w:r>
        <w:rPr>
          <w:rFonts w:ascii="Times New Roman" w:hAnsi="Times New Roman"/>
          <w:bCs/>
          <w:sz w:val="24"/>
          <w:szCs w:val="24"/>
        </w:rPr>
        <w:t>（2）供应商须知</w:t>
      </w:r>
    </w:p>
    <w:p w14:paraId="26D3EFE0">
      <w:pPr>
        <w:spacing w:line="560" w:lineRule="exact"/>
        <w:ind w:firstLine="480"/>
        <w:rPr>
          <w:rFonts w:ascii="Times New Roman" w:hAnsi="Times New Roman"/>
          <w:bCs/>
          <w:sz w:val="24"/>
          <w:szCs w:val="24"/>
        </w:rPr>
      </w:pPr>
      <w:r>
        <w:rPr>
          <w:rFonts w:ascii="Times New Roman" w:hAnsi="Times New Roman"/>
          <w:bCs/>
          <w:sz w:val="24"/>
          <w:szCs w:val="24"/>
        </w:rPr>
        <w:t>（3）合同文本</w:t>
      </w:r>
    </w:p>
    <w:p w14:paraId="1A47FCEF">
      <w:pPr>
        <w:spacing w:line="560" w:lineRule="exact"/>
        <w:ind w:firstLine="480"/>
        <w:rPr>
          <w:rFonts w:ascii="Times New Roman" w:hAnsi="Times New Roman"/>
          <w:bCs/>
          <w:sz w:val="24"/>
          <w:szCs w:val="24"/>
        </w:rPr>
      </w:pPr>
      <w:r>
        <w:rPr>
          <w:rFonts w:ascii="Times New Roman" w:hAnsi="Times New Roman"/>
          <w:bCs/>
          <w:sz w:val="24"/>
          <w:szCs w:val="24"/>
        </w:rPr>
        <w:t>（4）采购需求</w:t>
      </w:r>
    </w:p>
    <w:p w14:paraId="79F55DD7">
      <w:pPr>
        <w:spacing w:line="560" w:lineRule="exact"/>
        <w:ind w:firstLine="480"/>
        <w:rPr>
          <w:rFonts w:ascii="Times New Roman" w:hAnsi="Times New Roman"/>
          <w:bCs/>
          <w:sz w:val="24"/>
          <w:szCs w:val="24"/>
        </w:rPr>
      </w:pPr>
      <w:r>
        <w:rPr>
          <w:rFonts w:ascii="Times New Roman" w:hAnsi="Times New Roman"/>
          <w:bCs/>
          <w:sz w:val="24"/>
          <w:szCs w:val="24"/>
        </w:rPr>
        <w:t>（5）评审方法与评审标准</w:t>
      </w:r>
    </w:p>
    <w:p w14:paraId="61EA6A8B">
      <w:pPr>
        <w:spacing w:line="560" w:lineRule="exact"/>
        <w:ind w:firstLine="480"/>
        <w:rPr>
          <w:rFonts w:ascii="Times New Roman" w:hAnsi="Times New Roman"/>
          <w:bCs/>
          <w:sz w:val="24"/>
          <w:szCs w:val="24"/>
        </w:rPr>
      </w:pPr>
      <w:r>
        <w:rPr>
          <w:rFonts w:ascii="Times New Roman" w:hAnsi="Times New Roman"/>
          <w:bCs/>
          <w:sz w:val="24"/>
          <w:szCs w:val="24"/>
        </w:rPr>
        <w:t>（6）响应文件格式</w:t>
      </w:r>
    </w:p>
    <w:p w14:paraId="10C957F5">
      <w:pPr>
        <w:spacing w:line="560" w:lineRule="exact"/>
        <w:ind w:firstLine="480"/>
        <w:rPr>
          <w:rFonts w:ascii="Times New Roman" w:hAnsi="Times New Roman"/>
          <w:sz w:val="24"/>
          <w:szCs w:val="21"/>
        </w:rPr>
      </w:pPr>
      <w:r>
        <w:rPr>
          <w:rFonts w:ascii="Times New Roman" w:hAnsi="Times New Roman"/>
          <w:sz w:val="24"/>
          <w:szCs w:val="21"/>
        </w:rPr>
        <w:t>请仔细检查磋商文件是否齐全，如有缺漏请立即与采购代理机构联系解决。</w:t>
      </w:r>
    </w:p>
    <w:p w14:paraId="2ABED469">
      <w:pPr>
        <w:spacing w:line="560" w:lineRule="exact"/>
        <w:ind w:firstLine="480"/>
        <w:rPr>
          <w:rFonts w:ascii="Times New Roman" w:hAnsi="Times New Roman"/>
          <w:sz w:val="24"/>
          <w:szCs w:val="21"/>
        </w:rPr>
      </w:pPr>
      <w:r>
        <w:rPr>
          <w:rFonts w:ascii="Times New Roman" w:hAnsi="Times New Roman"/>
          <w:bCs/>
          <w:sz w:val="24"/>
          <w:szCs w:val="21"/>
        </w:rPr>
        <w:t>6.2</w:t>
      </w:r>
      <w:r>
        <w:rPr>
          <w:rFonts w:ascii="Times New Roman" w:hAnsi="Times New Roman"/>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A64AEB0">
      <w:pPr>
        <w:keepNext/>
        <w:keepLines/>
        <w:spacing w:line="560" w:lineRule="exact"/>
        <w:ind w:firstLine="422"/>
        <w:outlineLvl w:val="3"/>
        <w:rPr>
          <w:rFonts w:ascii="Times New Roman" w:hAnsi="Times New Roman"/>
          <w:b/>
          <w:sz w:val="28"/>
          <w:szCs w:val="28"/>
        </w:rPr>
      </w:pPr>
      <w:bookmarkStart w:id="92" w:name="_Toc513029211"/>
      <w:bookmarkStart w:id="93" w:name="_Toc462564070"/>
      <w:bookmarkStart w:id="94" w:name="_Toc16938527"/>
      <w:bookmarkStart w:id="95" w:name="_Toc20823283"/>
      <w:r>
        <w:rPr>
          <w:rFonts w:ascii="Times New Roman" w:hAnsi="Times New Roman"/>
          <w:b/>
          <w:sz w:val="28"/>
          <w:szCs w:val="28"/>
        </w:rPr>
        <w:t>7、磋商文件的澄清</w:t>
      </w:r>
      <w:bookmarkEnd w:id="92"/>
      <w:bookmarkEnd w:id="93"/>
      <w:bookmarkEnd w:id="94"/>
      <w:bookmarkEnd w:id="95"/>
    </w:p>
    <w:p w14:paraId="0BF7517F">
      <w:pPr>
        <w:spacing w:line="560" w:lineRule="exact"/>
        <w:ind w:firstLine="480"/>
        <w:rPr>
          <w:rFonts w:ascii="Times New Roman" w:hAnsi="Times New Roman"/>
          <w:sz w:val="24"/>
          <w:szCs w:val="24"/>
        </w:rPr>
      </w:pPr>
      <w:r>
        <w:rPr>
          <w:rFonts w:ascii="Times New Roman" w:hAnsi="Times New Roman"/>
          <w:bCs/>
          <w:sz w:val="24"/>
          <w:szCs w:val="21"/>
        </w:rPr>
        <w:t>7.1</w:t>
      </w:r>
      <w:r>
        <w:rPr>
          <w:rFonts w:ascii="Times New Roman" w:hAnsi="Times New Roman"/>
          <w:sz w:val="24"/>
          <w:szCs w:val="21"/>
        </w:rPr>
        <w:t>任何要求对磋商文件进行澄清的供应商，应在磋商截止期5日</w:t>
      </w:r>
      <w:r>
        <w:rPr>
          <w:rFonts w:ascii="Times New Roman" w:hAnsi="Times New Roman"/>
          <w:sz w:val="24"/>
          <w:szCs w:val="24"/>
        </w:rPr>
        <w:t>前</w:t>
      </w:r>
      <w:r>
        <w:rPr>
          <w:rFonts w:ascii="Times New Roman" w:hAnsi="Times New Roman"/>
          <w:sz w:val="24"/>
          <w:szCs w:val="21"/>
        </w:rPr>
        <w:t>按磋商公告中的通讯地址，以书面形式通知采购代理机构。</w:t>
      </w:r>
    </w:p>
    <w:p w14:paraId="3E3D515B">
      <w:pPr>
        <w:keepNext/>
        <w:keepLines/>
        <w:spacing w:line="560" w:lineRule="exact"/>
        <w:ind w:firstLine="422"/>
        <w:outlineLvl w:val="3"/>
        <w:rPr>
          <w:rFonts w:ascii="Times New Roman" w:hAnsi="Times New Roman"/>
          <w:b/>
          <w:sz w:val="28"/>
          <w:szCs w:val="28"/>
        </w:rPr>
      </w:pPr>
      <w:bookmarkStart w:id="96" w:name="_Toc16938528"/>
      <w:bookmarkStart w:id="97" w:name="_Toc513029212"/>
      <w:bookmarkStart w:id="98" w:name="_Toc20823284"/>
      <w:bookmarkStart w:id="99" w:name="_Toc462564071"/>
      <w:r>
        <w:rPr>
          <w:rFonts w:ascii="Times New Roman" w:hAnsi="Times New Roman"/>
          <w:b/>
          <w:sz w:val="28"/>
          <w:szCs w:val="28"/>
        </w:rPr>
        <w:t>8、磋商文件的澄清和修改</w:t>
      </w:r>
      <w:bookmarkEnd w:id="96"/>
      <w:bookmarkEnd w:id="97"/>
      <w:bookmarkEnd w:id="98"/>
      <w:bookmarkEnd w:id="99"/>
    </w:p>
    <w:p w14:paraId="7A2F7D99">
      <w:pPr>
        <w:spacing w:line="560" w:lineRule="exact"/>
        <w:ind w:firstLine="480"/>
        <w:rPr>
          <w:rFonts w:ascii="Times New Roman" w:hAnsi="Times New Roman"/>
          <w:bCs/>
          <w:sz w:val="24"/>
        </w:rPr>
      </w:pPr>
      <w:r>
        <w:rPr>
          <w:rFonts w:ascii="Times New Roman" w:hAnsi="Times New Roman"/>
          <w:bCs/>
          <w:sz w:val="24"/>
        </w:rPr>
        <w:t>8.1采购代理机构可以以更正公告的形式，对已发出的磋商文件进行必要的澄清或者修改。澄清或者修改的内容可能影响响应文件编制的，更正公告应在</w:t>
      </w:r>
      <w:r>
        <w:rPr>
          <w:rFonts w:ascii="Times New Roman" w:hAnsi="Times New Roman"/>
          <w:sz w:val="24"/>
          <w:szCs w:val="21"/>
        </w:rPr>
        <w:t>提交首次响应文件截止时间</w:t>
      </w:r>
      <w:r>
        <w:rPr>
          <w:rFonts w:ascii="Times New Roman" w:hAnsi="Times New Roman"/>
          <w:bCs/>
          <w:sz w:val="24"/>
        </w:rPr>
        <w:t>至少5日前发出；不足5日的，采购代理机构应当顺延</w:t>
      </w:r>
      <w:r>
        <w:rPr>
          <w:rFonts w:ascii="Times New Roman" w:hAnsi="Times New Roman"/>
          <w:sz w:val="24"/>
          <w:szCs w:val="21"/>
        </w:rPr>
        <w:t>提交首次响应文件截止时间</w:t>
      </w:r>
      <w:r>
        <w:rPr>
          <w:rFonts w:ascii="Times New Roman" w:hAnsi="Times New Roman"/>
          <w:bCs/>
          <w:sz w:val="24"/>
        </w:rPr>
        <w:t>。</w:t>
      </w:r>
    </w:p>
    <w:p w14:paraId="6E8ABF6C">
      <w:pPr>
        <w:spacing w:line="560" w:lineRule="exact"/>
        <w:ind w:firstLine="480"/>
        <w:rPr>
          <w:rFonts w:ascii="Times New Roman" w:hAnsi="Times New Roman"/>
          <w:bCs/>
          <w:sz w:val="24"/>
        </w:rPr>
      </w:pPr>
      <w:r>
        <w:rPr>
          <w:rFonts w:ascii="Times New Roman" w:hAnsi="Times New Roman"/>
          <w:bCs/>
          <w:sz w:val="24"/>
        </w:rPr>
        <w:t>8.2</w:t>
      </w:r>
      <w:r>
        <w:rPr>
          <w:rFonts w:ascii="Times New Roman" w:hAnsi="Times New Roman"/>
          <w:sz w:val="24"/>
          <w:szCs w:val="21"/>
        </w:rPr>
        <w:t>在响应文件提交截止时间前</w:t>
      </w:r>
      <w:r>
        <w:rPr>
          <w:rFonts w:ascii="Times New Roman" w:hAnsi="Times New Roman"/>
          <w:bCs/>
          <w:sz w:val="24"/>
        </w:rPr>
        <w:t>，采购代理机构可以对磋商文件进行修改。</w:t>
      </w:r>
    </w:p>
    <w:p w14:paraId="27C73C6D">
      <w:pPr>
        <w:spacing w:line="560" w:lineRule="exact"/>
        <w:ind w:firstLine="480"/>
        <w:rPr>
          <w:rFonts w:ascii="Times New Roman" w:hAnsi="Times New Roman"/>
          <w:bCs/>
          <w:sz w:val="24"/>
        </w:rPr>
      </w:pPr>
      <w:r>
        <w:rPr>
          <w:rFonts w:ascii="Times New Roman" w:hAnsi="Times New Roman"/>
          <w:bCs/>
          <w:sz w:val="24"/>
        </w:rPr>
        <w:t>8.3采购代理机构有权按照法定的要求推迟响应文件递交截止日期和磋商日期。</w:t>
      </w:r>
    </w:p>
    <w:p w14:paraId="481B667E">
      <w:pPr>
        <w:spacing w:line="560" w:lineRule="exact"/>
        <w:ind w:firstLine="480"/>
        <w:rPr>
          <w:rFonts w:ascii="Times New Roman" w:hAnsi="Times New Roman"/>
          <w:bCs/>
          <w:sz w:val="24"/>
        </w:rPr>
      </w:pPr>
      <w:r>
        <w:rPr>
          <w:rFonts w:ascii="Times New Roman" w:hAnsi="Times New Roman"/>
          <w:bCs/>
          <w:sz w:val="24"/>
        </w:rPr>
        <w:t>8.4磋商文件的修改将在原公告媒体上发布更正公告，</w:t>
      </w:r>
      <w:r>
        <w:rPr>
          <w:rFonts w:ascii="Times New Roman" w:hAnsi="Times New Roman"/>
          <w:sz w:val="24"/>
          <w:szCs w:val="21"/>
        </w:rPr>
        <w:t>更正公告内容将作为磋商文件的组成部分</w:t>
      </w:r>
      <w:r>
        <w:rPr>
          <w:rFonts w:ascii="Times New Roman" w:hAnsi="Times New Roman"/>
          <w:bCs/>
          <w:sz w:val="24"/>
        </w:rPr>
        <w:t>，并对供应商具有约束力，发布的更正公告视同为以书面形式通知所有获取招标文件的潜在投标人。</w:t>
      </w:r>
    </w:p>
    <w:p w14:paraId="5AEB67C3">
      <w:pPr>
        <w:spacing w:line="560" w:lineRule="exact"/>
        <w:ind w:firstLine="480"/>
        <w:rPr>
          <w:rFonts w:ascii="Times New Roman" w:hAnsi="Times New Roman"/>
          <w:bCs/>
          <w:sz w:val="24"/>
        </w:rPr>
      </w:pPr>
      <w:r>
        <w:rPr>
          <w:rFonts w:ascii="Times New Roman" w:hAnsi="Times New Roman"/>
          <w:bCs/>
          <w:sz w:val="24"/>
        </w:rPr>
        <w:t>8.5供应商应及时登录“苏采云”系统获取澄清答疑文件（修改后磋商文件），如因供应商原因未能及时下载澄清和修改后的磋商文件，由此造成的相关责任，由供应商承担。</w:t>
      </w:r>
    </w:p>
    <w:p w14:paraId="3B996D50">
      <w:pPr>
        <w:keepNext/>
        <w:keepLines/>
        <w:spacing w:line="560" w:lineRule="exact"/>
        <w:ind w:firstLine="482"/>
        <w:outlineLvl w:val="2"/>
        <w:rPr>
          <w:rFonts w:ascii="Times New Roman" w:hAnsi="Times New Roman"/>
          <w:b/>
          <w:bCs/>
          <w:sz w:val="32"/>
          <w:szCs w:val="32"/>
        </w:rPr>
      </w:pPr>
      <w:bookmarkStart w:id="100" w:name="_Toc462564072"/>
      <w:bookmarkStart w:id="101" w:name="_Toc32185"/>
      <w:bookmarkStart w:id="102" w:name="_Toc513029213"/>
      <w:bookmarkStart w:id="103" w:name="_Toc120614216"/>
      <w:bookmarkStart w:id="104" w:name="_Toc16938529"/>
      <w:bookmarkStart w:id="105" w:name="_Toc20823285"/>
      <w:r>
        <w:rPr>
          <w:rFonts w:ascii="Times New Roman" w:hAnsi="Times New Roman"/>
          <w:b/>
          <w:bCs/>
          <w:sz w:val="32"/>
          <w:szCs w:val="32"/>
        </w:rPr>
        <w:t>三、响应文件的编制</w:t>
      </w:r>
      <w:bookmarkEnd w:id="100"/>
      <w:bookmarkEnd w:id="101"/>
      <w:bookmarkEnd w:id="102"/>
      <w:bookmarkEnd w:id="103"/>
      <w:bookmarkEnd w:id="104"/>
      <w:bookmarkEnd w:id="105"/>
    </w:p>
    <w:p w14:paraId="50D320B7">
      <w:pPr>
        <w:keepNext/>
        <w:keepLines/>
        <w:spacing w:line="560" w:lineRule="exact"/>
        <w:ind w:firstLine="422"/>
        <w:outlineLvl w:val="3"/>
        <w:rPr>
          <w:rFonts w:ascii="Times New Roman" w:hAnsi="Times New Roman"/>
          <w:b/>
          <w:sz w:val="28"/>
          <w:szCs w:val="28"/>
        </w:rPr>
      </w:pPr>
      <w:bookmarkStart w:id="106" w:name="_Toc20823286"/>
      <w:bookmarkStart w:id="107" w:name="_Toc16938530"/>
      <w:bookmarkStart w:id="108" w:name="_Toc513029214"/>
      <w:bookmarkStart w:id="109" w:name="_Toc462564073"/>
      <w:r>
        <w:rPr>
          <w:rFonts w:ascii="Times New Roman" w:hAnsi="Times New Roman"/>
          <w:b/>
          <w:sz w:val="28"/>
          <w:szCs w:val="28"/>
        </w:rPr>
        <w:t>9、响应文件的语言及度量衡单位</w:t>
      </w:r>
      <w:bookmarkEnd w:id="106"/>
      <w:bookmarkEnd w:id="107"/>
      <w:bookmarkEnd w:id="108"/>
      <w:bookmarkEnd w:id="109"/>
    </w:p>
    <w:p w14:paraId="63893736">
      <w:pPr>
        <w:spacing w:line="560" w:lineRule="exact"/>
        <w:ind w:firstLine="480"/>
        <w:rPr>
          <w:rFonts w:ascii="Times New Roman" w:hAnsi="Times New Roman"/>
          <w:sz w:val="24"/>
          <w:szCs w:val="21"/>
        </w:rPr>
      </w:pPr>
      <w:r>
        <w:rPr>
          <w:rFonts w:ascii="Times New Roman" w:hAnsi="Times New Roman"/>
          <w:bCs/>
          <w:sz w:val="24"/>
          <w:szCs w:val="21"/>
        </w:rPr>
        <w:t>9.1</w:t>
      </w:r>
      <w:r>
        <w:rPr>
          <w:rFonts w:ascii="Times New Roman" w:hAnsi="Times New Roman"/>
          <w:sz w:val="24"/>
          <w:szCs w:val="21"/>
        </w:rPr>
        <w:t>供应商提交的响应文件以及供应商与采购代理机构就有关磋商的所有来往通知、函件和文件均应使用</w:t>
      </w:r>
      <w:r>
        <w:rPr>
          <w:rFonts w:ascii="Times New Roman" w:hAnsi="Times New Roman"/>
          <w:b/>
          <w:bCs/>
          <w:sz w:val="24"/>
          <w:szCs w:val="21"/>
        </w:rPr>
        <w:t>简体中文</w:t>
      </w:r>
      <w:r>
        <w:rPr>
          <w:rFonts w:ascii="Times New Roman" w:hAnsi="Times New Roman"/>
          <w:sz w:val="24"/>
          <w:szCs w:val="21"/>
        </w:rPr>
        <w:t>。</w:t>
      </w:r>
    </w:p>
    <w:p w14:paraId="30308CB3">
      <w:pPr>
        <w:spacing w:line="560" w:lineRule="exact"/>
        <w:ind w:firstLine="480"/>
        <w:rPr>
          <w:rFonts w:ascii="Times New Roman" w:hAnsi="Times New Roman"/>
          <w:sz w:val="24"/>
          <w:szCs w:val="21"/>
        </w:rPr>
      </w:pPr>
      <w:r>
        <w:rPr>
          <w:rFonts w:ascii="Times New Roman" w:hAnsi="Times New Roman"/>
          <w:bCs/>
          <w:sz w:val="24"/>
          <w:szCs w:val="21"/>
        </w:rPr>
        <w:t>9.2</w:t>
      </w:r>
      <w:r>
        <w:rPr>
          <w:rFonts w:ascii="Times New Roman" w:hAnsi="Times New Roman"/>
          <w:sz w:val="24"/>
          <w:szCs w:val="21"/>
        </w:rPr>
        <w:t xml:space="preserve"> 除技术性能另有规定外，响应文件所使用的度量衡单位，均须采用国家法定计量单位。</w:t>
      </w:r>
    </w:p>
    <w:p w14:paraId="35517C39">
      <w:pPr>
        <w:keepNext/>
        <w:keepLines/>
        <w:spacing w:line="560" w:lineRule="exact"/>
        <w:ind w:firstLine="422"/>
        <w:outlineLvl w:val="3"/>
        <w:rPr>
          <w:rFonts w:ascii="Times New Roman" w:hAnsi="Times New Roman"/>
          <w:b/>
          <w:sz w:val="28"/>
          <w:szCs w:val="28"/>
        </w:rPr>
      </w:pPr>
      <w:bookmarkStart w:id="110" w:name="_Toc462564074"/>
      <w:bookmarkStart w:id="111" w:name="_Toc20823287"/>
      <w:bookmarkStart w:id="112" w:name="_Toc513029215"/>
      <w:bookmarkStart w:id="113" w:name="_Toc16938531"/>
      <w:r>
        <w:rPr>
          <w:rFonts w:ascii="Times New Roman" w:hAnsi="Times New Roman"/>
          <w:b/>
          <w:sz w:val="28"/>
          <w:szCs w:val="28"/>
        </w:rPr>
        <w:t>10、响应文件构成</w:t>
      </w:r>
      <w:bookmarkEnd w:id="110"/>
      <w:bookmarkEnd w:id="111"/>
      <w:bookmarkEnd w:id="112"/>
      <w:bookmarkEnd w:id="113"/>
    </w:p>
    <w:p w14:paraId="7398DFB2">
      <w:pPr>
        <w:spacing w:line="560" w:lineRule="exact"/>
        <w:ind w:firstLine="480"/>
        <w:rPr>
          <w:rFonts w:ascii="Times New Roman" w:hAnsi="Times New Roman"/>
          <w:bCs/>
          <w:sz w:val="24"/>
        </w:rPr>
      </w:pPr>
      <w:r>
        <w:rPr>
          <w:rFonts w:ascii="Times New Roman" w:hAnsi="Times New Roman"/>
          <w:bCs/>
          <w:sz w:val="24"/>
          <w:szCs w:val="21"/>
        </w:rPr>
        <w:t>10.1</w:t>
      </w:r>
      <w:r>
        <w:rPr>
          <w:rFonts w:ascii="Times New Roman" w:hAnsi="Times New Roman"/>
          <w:bCs/>
          <w:sz w:val="24"/>
        </w:rPr>
        <w:t>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314A4FF6">
      <w:pPr>
        <w:spacing w:line="560" w:lineRule="exact"/>
        <w:ind w:firstLine="480"/>
        <w:rPr>
          <w:rFonts w:ascii="Times New Roman" w:hAnsi="Times New Roman"/>
          <w:sz w:val="24"/>
          <w:szCs w:val="21"/>
        </w:rPr>
      </w:pPr>
      <w:r>
        <w:rPr>
          <w:rFonts w:ascii="Times New Roman" w:hAnsi="Times New Roman"/>
          <w:bCs/>
          <w:sz w:val="24"/>
          <w:lang w:val="zh-CN"/>
        </w:rPr>
        <w:t>各供应商在编制</w:t>
      </w:r>
      <w:r>
        <w:rPr>
          <w:rFonts w:ascii="Times New Roman" w:hAnsi="Times New Roman"/>
          <w:bCs/>
          <w:sz w:val="24"/>
        </w:rPr>
        <w:t>响应文件</w:t>
      </w:r>
      <w:r>
        <w:rPr>
          <w:rFonts w:ascii="Times New Roman" w:hAnsi="Times New Roman"/>
          <w:bCs/>
          <w:sz w:val="24"/>
          <w:lang w:val="zh-CN"/>
        </w:rPr>
        <w:t>时请按照磋商文件第六</w:t>
      </w:r>
      <w:r>
        <w:rPr>
          <w:rFonts w:ascii="Times New Roman" w:hAnsi="Times New Roman"/>
          <w:bCs/>
          <w:sz w:val="24"/>
        </w:rPr>
        <w:t>章</w:t>
      </w:r>
      <w:r>
        <w:rPr>
          <w:rFonts w:ascii="Times New Roman" w:hAnsi="Times New Roman"/>
          <w:bCs/>
          <w:sz w:val="24"/>
          <w:lang w:val="zh-CN"/>
        </w:rPr>
        <w:t>规定的格式进行，混乱的编排导致</w:t>
      </w:r>
      <w:r>
        <w:rPr>
          <w:rFonts w:ascii="Times New Roman" w:hAnsi="Times New Roman"/>
          <w:bCs/>
          <w:sz w:val="24"/>
        </w:rPr>
        <w:t>响应</w:t>
      </w:r>
      <w:r>
        <w:rPr>
          <w:rFonts w:ascii="Times New Roman" w:hAnsi="Times New Roman"/>
          <w:bCs/>
          <w:sz w:val="24"/>
          <w:lang w:val="zh-CN"/>
        </w:rPr>
        <w:t>文件被误读或磋商小组查找不到有效文件是供应商的风险。</w:t>
      </w:r>
    </w:p>
    <w:p w14:paraId="36C5FBDC">
      <w:pPr>
        <w:spacing w:line="560" w:lineRule="exact"/>
        <w:ind w:firstLine="480"/>
        <w:rPr>
          <w:rFonts w:ascii="Times New Roman" w:hAnsi="Times New Roman"/>
          <w:sz w:val="24"/>
        </w:rPr>
      </w:pPr>
      <w:r>
        <w:rPr>
          <w:rFonts w:ascii="Times New Roman" w:hAnsi="Times New Roman"/>
          <w:sz w:val="24"/>
          <w:szCs w:val="21"/>
        </w:rPr>
        <w:t>10.2</w:t>
      </w:r>
      <w:r>
        <w:rPr>
          <w:rFonts w:ascii="Times New Roman" w:hAnsi="Times New Roman"/>
          <w:sz w:val="24"/>
        </w:rPr>
        <w:t>供应商编写的响应文件应包括资格证明文件、响应及偏离表、其他证明文件、磋商申请及声明函、开标一览表等部分。</w:t>
      </w:r>
    </w:p>
    <w:p w14:paraId="1A223E3F">
      <w:pPr>
        <w:spacing w:line="560" w:lineRule="exact"/>
        <w:ind w:firstLine="480"/>
        <w:rPr>
          <w:rFonts w:ascii="Times New Roman" w:hAnsi="Times New Roman"/>
          <w:bCs/>
          <w:sz w:val="24"/>
        </w:rPr>
      </w:pPr>
      <w:r>
        <w:rPr>
          <w:rFonts w:ascii="Times New Roman" w:hAnsi="Times New Roman"/>
          <w:bCs/>
          <w:sz w:val="24"/>
        </w:rPr>
        <w:t>10.3响应文件须加盖电子签章之处，应按要求加盖</w:t>
      </w:r>
      <w:r>
        <w:rPr>
          <w:rFonts w:ascii="Times New Roman" w:hAnsi="Times New Roman"/>
          <w:bCs/>
          <w:sz w:val="24"/>
          <w:lang w:val="zh-CN"/>
        </w:rPr>
        <w:t>供应商</w:t>
      </w:r>
      <w:r>
        <w:rPr>
          <w:rFonts w:ascii="Times New Roman" w:hAnsi="Times New Roman"/>
          <w:bCs/>
          <w:sz w:val="24"/>
        </w:rPr>
        <w:t>数字证书的电子签章。其他需要盖章但未明确要求电子签章的，</w:t>
      </w:r>
      <w:r>
        <w:rPr>
          <w:rFonts w:ascii="Times New Roman" w:hAnsi="Times New Roman"/>
          <w:bCs/>
          <w:sz w:val="24"/>
          <w:lang w:val="zh-CN"/>
        </w:rPr>
        <w:t>供应商</w:t>
      </w:r>
      <w:r>
        <w:rPr>
          <w:rFonts w:ascii="Times New Roman" w:hAnsi="Times New Roman"/>
          <w:bCs/>
          <w:sz w:val="24"/>
        </w:rPr>
        <w:t xml:space="preserve">可按要求加盖公章后上传材料电子件或直接加盖电子签章。 </w:t>
      </w:r>
    </w:p>
    <w:p w14:paraId="05976C67">
      <w:pPr>
        <w:spacing w:line="560" w:lineRule="exact"/>
        <w:ind w:firstLine="480"/>
        <w:rPr>
          <w:rFonts w:ascii="Times New Roman" w:hAnsi="Times New Roman"/>
          <w:bCs/>
          <w:sz w:val="24"/>
        </w:rPr>
      </w:pPr>
      <w:r>
        <w:rPr>
          <w:rFonts w:ascii="Times New Roman" w:hAnsi="Times New Roman"/>
          <w:bCs/>
          <w:sz w:val="24"/>
        </w:rPr>
        <w:t>10.4本项目通过“苏采云”系统进行电子招标投标，即</w:t>
      </w:r>
      <w:r>
        <w:rPr>
          <w:rFonts w:ascii="Times New Roman" w:hAnsi="Times New Roman"/>
          <w:bCs/>
          <w:sz w:val="24"/>
          <w:lang w:val="zh-CN"/>
        </w:rPr>
        <w:t>供应商</w:t>
      </w:r>
      <w:r>
        <w:rPr>
          <w:rFonts w:ascii="Times New Roman" w:hAnsi="Times New Roman"/>
          <w:bCs/>
          <w:sz w:val="24"/>
        </w:rPr>
        <w:t>应当通过“苏采云”系统提交数据电文形式的响应文件（即电子投标）。响应文件使用政府采购客户端工具制作并通过“苏采云”系统提交，未进行响应文件提交并解密的</w:t>
      </w:r>
      <w:r>
        <w:rPr>
          <w:rFonts w:ascii="Times New Roman" w:hAnsi="Times New Roman"/>
          <w:bCs/>
          <w:sz w:val="24"/>
          <w:lang w:val="zh-CN"/>
        </w:rPr>
        <w:t>供应商</w:t>
      </w:r>
      <w:r>
        <w:rPr>
          <w:rFonts w:ascii="Times New Roman" w:hAnsi="Times New Roman"/>
          <w:bCs/>
          <w:sz w:val="24"/>
        </w:rPr>
        <w:t>，按照无效响应处理(因“苏采云”系统导致解密失败的除外)。</w:t>
      </w:r>
    </w:p>
    <w:p w14:paraId="0DC63EB4">
      <w:pPr>
        <w:spacing w:line="560" w:lineRule="exact"/>
        <w:ind w:firstLine="480"/>
        <w:rPr>
          <w:rFonts w:ascii="Times New Roman" w:hAnsi="Times New Roman"/>
          <w:bCs/>
          <w:sz w:val="24"/>
        </w:rPr>
      </w:pPr>
      <w:r>
        <w:rPr>
          <w:rFonts w:ascii="Times New Roman" w:hAnsi="Times New Roman"/>
          <w:bCs/>
          <w:sz w:val="24"/>
        </w:rPr>
        <w:t>10.5如标书制作工具中格式和内容与“宿迁市政府采购网”发布的磋商文件不一致，请以“宿迁市政府采购网”发布的磋商文件为准。</w:t>
      </w:r>
    </w:p>
    <w:p w14:paraId="6EFDD2F1">
      <w:pPr>
        <w:spacing w:line="560" w:lineRule="exact"/>
        <w:ind w:firstLine="480"/>
        <w:rPr>
          <w:rFonts w:ascii="Times New Roman" w:hAnsi="Times New Roman"/>
          <w:bCs/>
          <w:sz w:val="24"/>
        </w:rPr>
      </w:pPr>
      <w:r>
        <w:rPr>
          <w:rFonts w:ascii="Times New Roman" w:hAnsi="Times New Roman"/>
          <w:bCs/>
          <w:sz w:val="24"/>
        </w:rPr>
        <w:t xml:space="preserve">10.6成交后按相关要求提供与电子响应文件一致的纸质打印响应文件2份。 </w:t>
      </w:r>
    </w:p>
    <w:p w14:paraId="3822CC97">
      <w:pPr>
        <w:spacing w:line="560" w:lineRule="exact"/>
        <w:ind w:firstLine="480"/>
        <w:rPr>
          <w:rFonts w:ascii="Times New Roman" w:hAnsi="Times New Roman"/>
          <w:sz w:val="24"/>
        </w:rPr>
      </w:pPr>
      <w:bookmarkStart w:id="114" w:name="EBc50e2bb832bb43068403b10c1cce6141"/>
      <w:r>
        <w:rPr>
          <w:rFonts w:ascii="Times New Roman" w:hAnsi="Times New Roman"/>
          <w:bCs/>
          <w:sz w:val="24"/>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4"/>
    </w:p>
    <w:p w14:paraId="50E37DC8">
      <w:pPr>
        <w:keepNext/>
        <w:keepLines/>
        <w:spacing w:line="560" w:lineRule="exact"/>
        <w:ind w:firstLine="422"/>
        <w:outlineLvl w:val="3"/>
        <w:rPr>
          <w:rFonts w:ascii="Times New Roman" w:hAnsi="Times New Roman"/>
          <w:b/>
          <w:sz w:val="28"/>
          <w:szCs w:val="28"/>
        </w:rPr>
      </w:pPr>
      <w:bookmarkStart w:id="115" w:name="_Hlt26670360"/>
      <w:bookmarkEnd w:id="115"/>
      <w:bookmarkStart w:id="116" w:name="_Hlt26954838"/>
      <w:bookmarkEnd w:id="116"/>
      <w:bookmarkStart w:id="117" w:name="_Hlt26668975"/>
      <w:bookmarkEnd w:id="117"/>
      <w:bookmarkStart w:id="118" w:name="_Toc14577354"/>
      <w:bookmarkStart w:id="119" w:name="_Toc14577357"/>
      <w:bookmarkStart w:id="120" w:name="_Toc49090509"/>
      <w:bookmarkStart w:id="121" w:name="_Toc49090507"/>
      <w:bookmarkStart w:id="122" w:name="_Toc513029216"/>
      <w:bookmarkStart w:id="123" w:name="_Toc513029219"/>
      <w:bookmarkStart w:id="124" w:name="_Toc49090508"/>
      <w:bookmarkStart w:id="125" w:name="_Toc14577355"/>
      <w:r>
        <w:rPr>
          <w:rFonts w:ascii="Times New Roman" w:hAnsi="Times New Roman"/>
          <w:b/>
          <w:sz w:val="28"/>
          <w:szCs w:val="28"/>
        </w:rPr>
        <w:t>11、证明磋商响应标的符合磋商文件规定的文件</w:t>
      </w:r>
      <w:bookmarkEnd w:id="118"/>
      <w:bookmarkEnd w:id="119"/>
      <w:bookmarkEnd w:id="120"/>
      <w:bookmarkEnd w:id="121"/>
      <w:bookmarkEnd w:id="122"/>
      <w:bookmarkEnd w:id="123"/>
    </w:p>
    <w:p w14:paraId="375E4872">
      <w:pPr>
        <w:spacing w:line="560" w:lineRule="exact"/>
        <w:ind w:firstLine="480"/>
        <w:rPr>
          <w:rFonts w:ascii="Times New Roman" w:hAnsi="Times New Roman"/>
          <w:sz w:val="24"/>
          <w:szCs w:val="24"/>
        </w:rPr>
      </w:pPr>
      <w:r>
        <w:rPr>
          <w:rFonts w:ascii="Times New Roman" w:hAnsi="Times New Roman"/>
          <w:sz w:val="24"/>
          <w:szCs w:val="24"/>
        </w:rPr>
        <w:t>11.1供应商应按照磋商文件要求提交证明文件，证明其及磋商响应标的符合磋商文件规定。</w:t>
      </w:r>
    </w:p>
    <w:p w14:paraId="374C17B6">
      <w:pPr>
        <w:spacing w:line="560" w:lineRule="exact"/>
        <w:ind w:firstLine="480"/>
        <w:rPr>
          <w:rFonts w:ascii="Times New Roman" w:hAnsi="Times New Roman"/>
          <w:sz w:val="24"/>
          <w:szCs w:val="24"/>
        </w:rPr>
      </w:pPr>
      <w:r>
        <w:rPr>
          <w:rFonts w:ascii="Times New Roman" w:hAnsi="Times New Roman"/>
          <w:sz w:val="24"/>
          <w:szCs w:val="24"/>
        </w:rPr>
        <w:t>11.2磋商文件对证明文件无明确形式要求的，证明文件可以以文字资料、图纸和数据等形式提交。</w:t>
      </w:r>
      <w:bookmarkEnd w:id="124"/>
      <w:bookmarkEnd w:id="125"/>
    </w:p>
    <w:p w14:paraId="45390DE8">
      <w:pPr>
        <w:keepNext/>
        <w:keepLines/>
        <w:spacing w:line="560" w:lineRule="exact"/>
        <w:ind w:firstLine="422"/>
        <w:outlineLvl w:val="3"/>
        <w:rPr>
          <w:rFonts w:ascii="Times New Roman" w:hAnsi="Times New Roman"/>
          <w:b/>
          <w:sz w:val="28"/>
          <w:szCs w:val="28"/>
        </w:rPr>
      </w:pPr>
      <w:r>
        <w:rPr>
          <w:rFonts w:ascii="Times New Roman" w:hAnsi="Times New Roman"/>
          <w:b/>
          <w:sz w:val="28"/>
          <w:szCs w:val="28"/>
        </w:rPr>
        <w:t>12、分项报价表</w:t>
      </w:r>
    </w:p>
    <w:p w14:paraId="375B7E52">
      <w:pPr>
        <w:spacing w:line="560" w:lineRule="exact"/>
        <w:ind w:firstLine="480"/>
        <w:rPr>
          <w:rFonts w:ascii="Times New Roman" w:hAnsi="Times New Roman"/>
          <w:bCs/>
          <w:sz w:val="24"/>
          <w:szCs w:val="21"/>
        </w:rPr>
      </w:pPr>
      <w:r>
        <w:rPr>
          <w:rFonts w:ascii="Times New Roman" w:hAnsi="Times New Roman"/>
          <w:bCs/>
          <w:sz w:val="24"/>
          <w:szCs w:val="21"/>
        </w:rPr>
        <w:t>12.1</w:t>
      </w:r>
      <w:r>
        <w:rPr>
          <w:rFonts w:ascii="Times New Roman" w:hAnsi="Times New Roman"/>
          <w:sz w:val="24"/>
          <w:szCs w:val="21"/>
        </w:rPr>
        <w:t>供应商应按照磋商文件规定格式填报分项报价表。</w:t>
      </w:r>
    </w:p>
    <w:p w14:paraId="36B4860A">
      <w:pPr>
        <w:spacing w:line="560" w:lineRule="exact"/>
        <w:ind w:firstLine="480"/>
        <w:rPr>
          <w:rFonts w:ascii="Times New Roman" w:hAnsi="Times New Roman"/>
          <w:sz w:val="24"/>
          <w:szCs w:val="21"/>
        </w:rPr>
      </w:pPr>
      <w:r>
        <w:rPr>
          <w:rFonts w:ascii="Times New Roman" w:hAnsi="Times New Roman"/>
          <w:sz w:val="24"/>
          <w:szCs w:val="21"/>
        </w:rPr>
        <w:t>12.2</w:t>
      </w:r>
      <w:r>
        <w:rPr>
          <w:rFonts w:ascii="Times New Roman" w:hAnsi="Times New Roman"/>
          <w:bCs/>
          <w:sz w:val="24"/>
          <w:szCs w:val="21"/>
        </w:rPr>
        <w:t>磋商货币。响应文件中的单价和总价无特殊规定的采用人民币报价，以元为单位标注。</w:t>
      </w:r>
      <w:r>
        <w:rPr>
          <w:rFonts w:ascii="Times New Roman" w:hAnsi="Times New Roman"/>
          <w:sz w:val="24"/>
          <w:szCs w:val="21"/>
        </w:rPr>
        <w:t>磋商文件中另有规定的按规定执行。</w:t>
      </w:r>
    </w:p>
    <w:p w14:paraId="3029E17B">
      <w:pPr>
        <w:spacing w:line="560" w:lineRule="exact"/>
        <w:ind w:firstLine="480"/>
        <w:rPr>
          <w:rFonts w:ascii="Times New Roman" w:hAnsi="Times New Roman"/>
          <w:bCs/>
          <w:sz w:val="24"/>
          <w:szCs w:val="21"/>
        </w:rPr>
      </w:pPr>
      <w:r>
        <w:rPr>
          <w:rFonts w:ascii="Times New Roman" w:hAnsi="Times New Roman"/>
          <w:bCs/>
          <w:sz w:val="24"/>
        </w:rPr>
        <w:t>12.3本项目不接受备选的投标方案或有选择的报价，只允许有一个报价。</w:t>
      </w:r>
      <w:r>
        <w:rPr>
          <w:rFonts w:hint="eastAsia" w:ascii="Times New Roman" w:hAnsi="Times New Roman"/>
          <w:bCs/>
          <w:sz w:val="24"/>
        </w:rPr>
        <w:t>投标报价内容包括：服务本身、人工费、服务费、设备费、税金以及交付使用过程中涉及到的其他一切费用。</w:t>
      </w:r>
      <w:r>
        <w:rPr>
          <w:rFonts w:ascii="Times New Roman" w:hAnsi="Times New Roman"/>
          <w:bCs/>
          <w:sz w:val="24"/>
        </w:rPr>
        <w:t>供应商响应文件中的报价作为首次报价，不公开；以最后报价作为评审价。</w:t>
      </w:r>
    </w:p>
    <w:p w14:paraId="6CF728C9">
      <w:pPr>
        <w:keepNext/>
        <w:keepLines/>
        <w:spacing w:line="560" w:lineRule="exact"/>
        <w:ind w:firstLine="422"/>
        <w:outlineLvl w:val="3"/>
        <w:rPr>
          <w:rFonts w:ascii="Times New Roman" w:hAnsi="Times New Roman"/>
          <w:b/>
          <w:sz w:val="28"/>
          <w:szCs w:val="28"/>
        </w:rPr>
      </w:pPr>
      <w:bookmarkStart w:id="126" w:name="_Hlt26670482"/>
      <w:bookmarkEnd w:id="126"/>
      <w:bookmarkStart w:id="127" w:name="_Hlt26954846"/>
      <w:bookmarkEnd w:id="127"/>
      <w:bookmarkStart w:id="128" w:name="_Hlt26954848"/>
      <w:bookmarkEnd w:id="128"/>
      <w:bookmarkStart w:id="129" w:name="_Hlt26670486"/>
      <w:bookmarkEnd w:id="129"/>
      <w:bookmarkStart w:id="130" w:name="_Hlt26954731"/>
      <w:bookmarkEnd w:id="130"/>
      <w:r>
        <w:rPr>
          <w:rFonts w:ascii="Times New Roman" w:hAnsi="Times New Roman"/>
          <w:b/>
          <w:sz w:val="28"/>
          <w:szCs w:val="28"/>
        </w:rPr>
        <w:t>13、技术要求响应及偏离表、商务要求响应及偏离表</w:t>
      </w:r>
    </w:p>
    <w:p w14:paraId="1388E7F0">
      <w:pPr>
        <w:spacing w:line="560" w:lineRule="exact"/>
        <w:ind w:firstLine="480"/>
        <w:rPr>
          <w:rFonts w:ascii="Times New Roman" w:hAnsi="Times New Roman"/>
          <w:sz w:val="24"/>
          <w:szCs w:val="21"/>
          <w:lang w:val="zh-CN"/>
        </w:rPr>
      </w:pPr>
      <w:r>
        <w:rPr>
          <w:rFonts w:ascii="Times New Roman" w:hAnsi="Times New Roman"/>
          <w:bCs/>
          <w:sz w:val="24"/>
          <w:szCs w:val="21"/>
          <w:lang w:val="zh-CN"/>
        </w:rPr>
        <w:t>13.1</w:t>
      </w:r>
      <w:r>
        <w:rPr>
          <w:rFonts w:ascii="Times New Roman" w:hAnsi="Times New Roman"/>
          <w:sz w:val="24"/>
          <w:szCs w:val="21"/>
          <w:lang w:val="zh-CN"/>
        </w:rPr>
        <w:t>供应商需对磋商文件中的技术要求与商务要求逐项作出响应或偏离，并说明原因。</w:t>
      </w:r>
    </w:p>
    <w:p w14:paraId="2C9607EC">
      <w:pPr>
        <w:spacing w:line="560" w:lineRule="exact"/>
        <w:ind w:firstLine="480"/>
        <w:rPr>
          <w:rFonts w:ascii="Times New Roman" w:hAnsi="Times New Roman"/>
          <w:sz w:val="24"/>
          <w:szCs w:val="21"/>
          <w:lang w:val="zh-CN"/>
        </w:rPr>
      </w:pPr>
      <w:r>
        <w:rPr>
          <w:rFonts w:ascii="Times New Roman" w:hAnsi="Times New Roman"/>
          <w:sz w:val="24"/>
          <w:szCs w:val="21"/>
          <w:lang w:val="zh-CN"/>
        </w:rPr>
        <w:t>13.2供应商可在响应文件中提供认为需要的其他技术文件或说明。</w:t>
      </w:r>
    </w:p>
    <w:p w14:paraId="1BFD328D">
      <w:pPr>
        <w:keepNext/>
        <w:keepLines/>
        <w:spacing w:line="560" w:lineRule="exact"/>
        <w:ind w:firstLine="422"/>
        <w:outlineLvl w:val="3"/>
        <w:rPr>
          <w:rFonts w:ascii="Times New Roman" w:hAnsi="Times New Roman"/>
          <w:b/>
          <w:sz w:val="28"/>
          <w:szCs w:val="28"/>
        </w:rPr>
      </w:pPr>
      <w:r>
        <w:rPr>
          <w:rFonts w:ascii="Times New Roman" w:hAnsi="Times New Roman"/>
          <w:b/>
          <w:sz w:val="28"/>
          <w:szCs w:val="28"/>
        </w:rPr>
        <w:t>14、服务承诺、培训计划、人员安排及其他</w:t>
      </w:r>
    </w:p>
    <w:p w14:paraId="6228D817">
      <w:pPr>
        <w:spacing w:line="560" w:lineRule="exact"/>
        <w:ind w:firstLine="480"/>
        <w:rPr>
          <w:rFonts w:ascii="Times New Roman" w:hAnsi="Times New Roman"/>
          <w:sz w:val="24"/>
          <w:szCs w:val="24"/>
        </w:rPr>
      </w:pPr>
      <w:r>
        <w:rPr>
          <w:rFonts w:ascii="Times New Roman" w:hAnsi="Times New Roman"/>
          <w:bCs/>
          <w:sz w:val="24"/>
          <w:szCs w:val="24"/>
        </w:rPr>
        <w:t>14.1</w:t>
      </w:r>
      <w:r>
        <w:rPr>
          <w:rFonts w:ascii="Times New Roman" w:hAnsi="Times New Roman"/>
          <w:sz w:val="24"/>
          <w:szCs w:val="24"/>
        </w:rPr>
        <w:t>供应商需根据磋商文件要求提供有关售后服务的管理制度，售后服务机构的分布情况，售后服务人员的数量、素质、技术水平及售后服务的反应能力等。</w:t>
      </w:r>
    </w:p>
    <w:p w14:paraId="47857927">
      <w:pPr>
        <w:spacing w:line="560" w:lineRule="exact"/>
        <w:ind w:firstLine="480"/>
        <w:rPr>
          <w:rFonts w:ascii="Times New Roman" w:hAnsi="Times New Roman"/>
          <w:sz w:val="24"/>
          <w:szCs w:val="24"/>
        </w:rPr>
      </w:pPr>
      <w:r>
        <w:rPr>
          <w:rFonts w:ascii="Times New Roman" w:hAnsi="Times New Roman"/>
          <w:sz w:val="24"/>
          <w:szCs w:val="24"/>
        </w:rPr>
        <w:t>14.2供应商需根据磋商文件要求提供培训计划。</w:t>
      </w:r>
    </w:p>
    <w:p w14:paraId="43C73DD1">
      <w:pPr>
        <w:spacing w:line="560" w:lineRule="exact"/>
        <w:ind w:firstLine="480"/>
        <w:rPr>
          <w:rFonts w:ascii="Times New Roman" w:hAnsi="Times New Roman"/>
          <w:sz w:val="24"/>
          <w:szCs w:val="24"/>
        </w:rPr>
      </w:pPr>
      <w:r>
        <w:rPr>
          <w:rFonts w:ascii="Times New Roman" w:hAnsi="Times New Roman"/>
          <w:sz w:val="24"/>
          <w:szCs w:val="24"/>
        </w:rPr>
        <w:t>14.3供应商需根据磋商文件要求提供</w:t>
      </w:r>
      <w:r>
        <w:rPr>
          <w:rFonts w:ascii="Times New Roman" w:hAnsi="Times New Roman"/>
          <w:sz w:val="24"/>
          <w:szCs w:val="21"/>
          <w:lang w:val="zh-CN"/>
        </w:rPr>
        <w:t>磋商响应标的的主要组成部分、功能设计、实现思路及关键技术等。</w:t>
      </w:r>
    </w:p>
    <w:p w14:paraId="3F2054C0">
      <w:pPr>
        <w:keepNext/>
        <w:keepLines/>
        <w:spacing w:line="560" w:lineRule="exact"/>
        <w:ind w:firstLine="422"/>
        <w:outlineLvl w:val="3"/>
        <w:rPr>
          <w:rFonts w:ascii="Times New Roman" w:hAnsi="Times New Roman"/>
          <w:b/>
          <w:sz w:val="28"/>
          <w:szCs w:val="28"/>
        </w:rPr>
      </w:pPr>
      <w:bookmarkStart w:id="131" w:name="_Toc14577359"/>
      <w:bookmarkStart w:id="132" w:name="_Toc49090510"/>
      <w:r>
        <w:rPr>
          <w:rFonts w:ascii="Times New Roman" w:hAnsi="Times New Roman"/>
          <w:b/>
          <w:sz w:val="28"/>
          <w:szCs w:val="28"/>
        </w:rPr>
        <w:t>15、磋商响应函</w:t>
      </w:r>
    </w:p>
    <w:p w14:paraId="4E89C953">
      <w:pPr>
        <w:spacing w:line="560" w:lineRule="exact"/>
        <w:ind w:firstLine="480"/>
        <w:rPr>
          <w:rFonts w:ascii="Times New Roman" w:hAnsi="Times New Roman"/>
          <w:sz w:val="24"/>
          <w:szCs w:val="21"/>
        </w:rPr>
      </w:pPr>
      <w:r>
        <w:rPr>
          <w:rFonts w:ascii="Times New Roman" w:hAnsi="Times New Roman"/>
          <w:bCs/>
          <w:sz w:val="24"/>
          <w:szCs w:val="21"/>
        </w:rPr>
        <w:t>15.1</w:t>
      </w:r>
      <w:r>
        <w:rPr>
          <w:rFonts w:ascii="Times New Roman" w:hAnsi="Times New Roman"/>
          <w:sz w:val="24"/>
          <w:szCs w:val="21"/>
        </w:rPr>
        <w:t>供应商应按照磋商文件中提供的格式完整、正确填写磋商响应函。</w:t>
      </w:r>
      <w:bookmarkEnd w:id="131"/>
      <w:bookmarkEnd w:id="132"/>
    </w:p>
    <w:p w14:paraId="340C0D41">
      <w:pPr>
        <w:keepNext/>
        <w:keepLines/>
        <w:spacing w:line="560" w:lineRule="exact"/>
        <w:ind w:firstLine="422"/>
        <w:outlineLvl w:val="3"/>
        <w:rPr>
          <w:rFonts w:ascii="Times New Roman" w:hAnsi="Times New Roman"/>
          <w:b/>
          <w:sz w:val="28"/>
          <w:szCs w:val="28"/>
        </w:rPr>
      </w:pPr>
      <w:bookmarkStart w:id="133" w:name="_Toc49090511"/>
      <w:bookmarkStart w:id="134" w:name="_Toc14577360"/>
      <w:r>
        <w:rPr>
          <w:rFonts w:ascii="Times New Roman" w:hAnsi="Times New Roman"/>
          <w:b/>
          <w:sz w:val="28"/>
          <w:szCs w:val="28"/>
        </w:rPr>
        <w:t>16、磋商有效期</w:t>
      </w:r>
      <w:bookmarkEnd w:id="133"/>
      <w:bookmarkEnd w:id="134"/>
    </w:p>
    <w:p w14:paraId="2585A133">
      <w:pPr>
        <w:spacing w:line="560" w:lineRule="exact"/>
        <w:ind w:firstLine="480"/>
        <w:rPr>
          <w:rFonts w:ascii="Times New Roman" w:hAnsi="Times New Roman"/>
          <w:bCs/>
          <w:sz w:val="24"/>
          <w:szCs w:val="21"/>
        </w:rPr>
      </w:pPr>
      <w:r>
        <w:rPr>
          <w:rFonts w:ascii="Times New Roman" w:hAnsi="Times New Roman"/>
          <w:bCs/>
          <w:sz w:val="24"/>
          <w:szCs w:val="21"/>
        </w:rPr>
        <w:t>16.1磋商有效期为提交响应文件截止之日后</w:t>
      </w:r>
      <w:r>
        <w:rPr>
          <w:rFonts w:ascii="Times New Roman" w:hAnsi="Times New Roman"/>
          <w:b/>
          <w:sz w:val="24"/>
          <w:szCs w:val="21"/>
          <w:u w:val="single"/>
        </w:rPr>
        <w:t>六十（60）天</w:t>
      </w:r>
      <w:r>
        <w:rPr>
          <w:rFonts w:ascii="Times New Roman" w:hAnsi="Times New Roman"/>
          <w:bCs/>
          <w:sz w:val="24"/>
          <w:szCs w:val="21"/>
        </w:rPr>
        <w:t>。磋商有效期比规定短的将被视为非实质性响应磋商文件而予以拒绝。</w:t>
      </w:r>
    </w:p>
    <w:p w14:paraId="63010304">
      <w:pPr>
        <w:keepNext/>
        <w:keepLines/>
        <w:spacing w:line="560" w:lineRule="exact"/>
        <w:ind w:firstLine="422"/>
        <w:outlineLvl w:val="3"/>
        <w:rPr>
          <w:rFonts w:ascii="Times New Roman" w:hAnsi="Times New Roman"/>
          <w:b/>
          <w:sz w:val="28"/>
          <w:szCs w:val="28"/>
        </w:rPr>
      </w:pPr>
      <w:r>
        <w:rPr>
          <w:rFonts w:ascii="Times New Roman" w:hAnsi="Times New Roman"/>
          <w:b/>
          <w:sz w:val="28"/>
          <w:szCs w:val="28"/>
        </w:rPr>
        <w:t>17、磋商有效期的延长</w:t>
      </w:r>
    </w:p>
    <w:p w14:paraId="27319099">
      <w:pPr>
        <w:spacing w:line="560" w:lineRule="exact"/>
        <w:ind w:firstLine="480"/>
        <w:rPr>
          <w:rFonts w:ascii="Times New Roman" w:hAnsi="Times New Roman"/>
          <w:bCs/>
          <w:sz w:val="24"/>
          <w:szCs w:val="21"/>
        </w:rPr>
      </w:pPr>
      <w:r>
        <w:rPr>
          <w:rFonts w:ascii="Times New Roman" w:hAnsi="Times New Roman"/>
          <w:bCs/>
          <w:sz w:val="24"/>
          <w:szCs w:val="21"/>
        </w:rPr>
        <w:t>17.1在特殊情况下，</w:t>
      </w:r>
      <w:r>
        <w:rPr>
          <w:rFonts w:ascii="Times New Roman" w:hAnsi="Times New Roman"/>
          <w:sz w:val="24"/>
          <w:szCs w:val="21"/>
        </w:rPr>
        <w:t>采购代理机构</w:t>
      </w:r>
      <w:r>
        <w:rPr>
          <w:rFonts w:ascii="Times New Roman" w:hAnsi="Times New Roman"/>
          <w:bCs/>
          <w:sz w:val="24"/>
          <w:szCs w:val="21"/>
        </w:rPr>
        <w:t>于原磋商有效期满之前，可向供应商提出延长磋商有效期的要求。这种要求与答复均应采用书面形式。供应商可以拒绝</w:t>
      </w:r>
      <w:r>
        <w:rPr>
          <w:rFonts w:ascii="Times New Roman" w:hAnsi="Times New Roman"/>
          <w:sz w:val="24"/>
          <w:szCs w:val="21"/>
        </w:rPr>
        <w:t>采购代理机构</w:t>
      </w:r>
      <w:r>
        <w:rPr>
          <w:rFonts w:ascii="Times New Roman" w:hAnsi="Times New Roman"/>
          <w:bCs/>
          <w:sz w:val="24"/>
          <w:szCs w:val="21"/>
        </w:rPr>
        <w:t>的这一要求而放弃磋商，同意延长磋商有效期的供应商既不能要求也不允许修改其响应文件。</w:t>
      </w:r>
      <w:r>
        <w:rPr>
          <w:rFonts w:ascii="Times New Roman" w:hAnsi="Times New Roman"/>
          <w:sz w:val="24"/>
          <w:szCs w:val="24"/>
        </w:rPr>
        <w:t>受磋商有效期约束的所有权利与义务均延长至新的有效期</w:t>
      </w:r>
      <w:r>
        <w:rPr>
          <w:rFonts w:ascii="Times New Roman" w:hAnsi="Times New Roman"/>
          <w:bCs/>
          <w:sz w:val="24"/>
          <w:szCs w:val="21"/>
        </w:rPr>
        <w:t>。</w:t>
      </w:r>
    </w:p>
    <w:p w14:paraId="02C6F580">
      <w:pPr>
        <w:spacing w:line="560" w:lineRule="exact"/>
        <w:ind w:firstLine="480"/>
        <w:rPr>
          <w:rFonts w:ascii="Times New Roman" w:hAnsi="Times New Roman"/>
          <w:bCs/>
          <w:sz w:val="24"/>
          <w:szCs w:val="21"/>
        </w:rPr>
      </w:pPr>
      <w:r>
        <w:rPr>
          <w:rFonts w:ascii="Times New Roman" w:hAnsi="Times New Roman"/>
          <w:bCs/>
          <w:sz w:val="24"/>
          <w:szCs w:val="21"/>
        </w:rPr>
        <w:t>17.2</w:t>
      </w:r>
      <w:r>
        <w:rPr>
          <w:rFonts w:ascii="Times New Roman" w:hAnsi="Times New Roman"/>
          <w:sz w:val="24"/>
        </w:rPr>
        <w:t>成交人的响应文件作为项目合同的附件，其有效期至成交人全部合同义务履行完毕为止。</w:t>
      </w:r>
    </w:p>
    <w:p w14:paraId="5BEE5138">
      <w:pPr>
        <w:keepNext/>
        <w:keepLines/>
        <w:spacing w:line="560" w:lineRule="exact"/>
        <w:ind w:firstLine="482"/>
        <w:outlineLvl w:val="2"/>
        <w:rPr>
          <w:rFonts w:ascii="Times New Roman" w:hAnsi="Times New Roman"/>
          <w:b/>
          <w:bCs/>
          <w:sz w:val="32"/>
          <w:szCs w:val="32"/>
        </w:rPr>
      </w:pPr>
      <w:bookmarkStart w:id="135" w:name="_Hlt26954852"/>
      <w:bookmarkEnd w:id="135"/>
      <w:bookmarkStart w:id="136" w:name="_Hlt26954739"/>
      <w:bookmarkEnd w:id="136"/>
      <w:bookmarkStart w:id="137" w:name="_Toc16938540"/>
      <w:bookmarkStart w:id="138" w:name="_Toc120614217"/>
      <w:bookmarkStart w:id="139" w:name="_Toc20363"/>
      <w:bookmarkStart w:id="140" w:name="_Toc20823296"/>
      <w:bookmarkStart w:id="141" w:name="_Toc513029224"/>
      <w:r>
        <w:rPr>
          <w:rFonts w:ascii="Times New Roman" w:hAnsi="Times New Roman"/>
          <w:b/>
          <w:bCs/>
          <w:sz w:val="32"/>
          <w:szCs w:val="32"/>
        </w:rPr>
        <w:t>四、响应文件的递交</w:t>
      </w:r>
      <w:bookmarkEnd w:id="137"/>
      <w:bookmarkEnd w:id="138"/>
      <w:bookmarkEnd w:id="139"/>
      <w:bookmarkEnd w:id="140"/>
      <w:bookmarkEnd w:id="141"/>
    </w:p>
    <w:p w14:paraId="3F11E5F9">
      <w:pPr>
        <w:keepNext/>
        <w:keepLines/>
        <w:spacing w:line="560" w:lineRule="exact"/>
        <w:ind w:firstLine="422"/>
        <w:outlineLvl w:val="3"/>
        <w:rPr>
          <w:rFonts w:ascii="Times New Roman" w:hAnsi="Times New Roman"/>
          <w:b/>
          <w:sz w:val="28"/>
          <w:szCs w:val="28"/>
        </w:rPr>
      </w:pPr>
      <w:bookmarkStart w:id="142" w:name="_Toc16938541"/>
      <w:bookmarkStart w:id="143" w:name="_Toc462564084"/>
      <w:bookmarkStart w:id="144" w:name="_Toc513029225"/>
      <w:bookmarkStart w:id="145" w:name="_Toc20823297"/>
      <w:r>
        <w:rPr>
          <w:rFonts w:ascii="Times New Roman" w:hAnsi="Times New Roman"/>
          <w:b/>
          <w:sz w:val="28"/>
          <w:szCs w:val="28"/>
        </w:rPr>
        <w:t>18、电子磋商</w:t>
      </w:r>
      <w:bookmarkEnd w:id="142"/>
      <w:bookmarkEnd w:id="143"/>
      <w:bookmarkEnd w:id="144"/>
      <w:bookmarkEnd w:id="145"/>
      <w:r>
        <w:rPr>
          <w:rFonts w:ascii="Times New Roman" w:hAnsi="Times New Roman"/>
          <w:b/>
          <w:sz w:val="28"/>
          <w:szCs w:val="28"/>
        </w:rPr>
        <w:t>响应文件的递交</w:t>
      </w:r>
    </w:p>
    <w:p w14:paraId="4C16AFDD">
      <w:pPr>
        <w:spacing w:line="560" w:lineRule="exact"/>
        <w:ind w:firstLine="600"/>
        <w:rPr>
          <w:rFonts w:ascii="Times New Roman" w:hAnsi="Times New Roman"/>
          <w:bCs/>
          <w:sz w:val="24"/>
          <w:szCs w:val="21"/>
        </w:rPr>
      </w:pPr>
      <w:r>
        <w:rPr>
          <w:rFonts w:ascii="Times New Roman" w:hAnsi="Times New Roman"/>
          <w:bCs/>
          <w:sz w:val="24"/>
          <w:szCs w:val="21"/>
        </w:rPr>
        <w:t>18.1供应商应当按照《操作手册》规定，在提交响应文件截止时间前制作并上传电子响应文件。</w:t>
      </w:r>
      <w:bookmarkStart w:id="146" w:name="_Toc16938542"/>
      <w:bookmarkStart w:id="147" w:name="_Toc20823298"/>
      <w:bookmarkStart w:id="148" w:name="_Toc513029226"/>
    </w:p>
    <w:p w14:paraId="43AD1999">
      <w:pPr>
        <w:spacing w:line="560" w:lineRule="exact"/>
        <w:ind w:firstLine="480"/>
        <w:rPr>
          <w:rFonts w:ascii="Times New Roman" w:hAnsi="Times New Roman"/>
          <w:sz w:val="24"/>
        </w:rPr>
      </w:pPr>
      <w:r>
        <w:rPr>
          <w:rFonts w:ascii="Times New Roman" w:hAnsi="Times New Roman"/>
          <w:sz w:val="24"/>
        </w:rPr>
        <w:t>18.2投标人通过“苏采云”系统不见面开标大厅在线参与开标活动。（具体操作详见《“苏采云”系统投标人操作手册》，网址链接http://www.ccgp-jiangsu.gov.cn//webfile/jiangsu/202311/1699268553318052447.pdf）</w:t>
      </w:r>
    </w:p>
    <w:p w14:paraId="76BC5A9C">
      <w:pPr>
        <w:keepNext/>
        <w:keepLines/>
        <w:spacing w:line="560" w:lineRule="exact"/>
        <w:ind w:firstLine="422"/>
        <w:outlineLvl w:val="3"/>
        <w:rPr>
          <w:rFonts w:ascii="Times New Roman" w:hAnsi="Times New Roman"/>
          <w:b/>
          <w:sz w:val="28"/>
          <w:szCs w:val="28"/>
        </w:rPr>
      </w:pPr>
      <w:r>
        <w:rPr>
          <w:rFonts w:ascii="Times New Roman" w:hAnsi="Times New Roman"/>
          <w:b/>
          <w:sz w:val="28"/>
          <w:szCs w:val="28"/>
        </w:rPr>
        <w:t>19、提交响应文件截止时间</w:t>
      </w:r>
      <w:bookmarkEnd w:id="146"/>
      <w:bookmarkEnd w:id="147"/>
      <w:bookmarkEnd w:id="148"/>
    </w:p>
    <w:p w14:paraId="15331F70">
      <w:pPr>
        <w:spacing w:line="560" w:lineRule="exact"/>
        <w:ind w:firstLine="480"/>
        <w:rPr>
          <w:rFonts w:ascii="Times New Roman" w:hAnsi="Times New Roman"/>
          <w:bCs/>
          <w:sz w:val="24"/>
          <w:szCs w:val="21"/>
        </w:rPr>
      </w:pPr>
      <w:r>
        <w:rPr>
          <w:rFonts w:ascii="Times New Roman" w:hAnsi="Times New Roman"/>
          <w:bCs/>
          <w:sz w:val="24"/>
          <w:szCs w:val="21"/>
        </w:rPr>
        <w:t>19.1供应商上传电子响应文件的时间不得迟于磋商公告中规定的提交响应文件截止时间。</w:t>
      </w:r>
    </w:p>
    <w:p w14:paraId="56F41AB6">
      <w:pPr>
        <w:spacing w:line="560" w:lineRule="exact"/>
        <w:ind w:firstLine="480"/>
        <w:rPr>
          <w:rFonts w:ascii="Times New Roman" w:hAnsi="Times New Roman"/>
          <w:bCs/>
          <w:sz w:val="24"/>
          <w:szCs w:val="21"/>
        </w:rPr>
      </w:pPr>
      <w:r>
        <w:rPr>
          <w:rFonts w:ascii="Times New Roman" w:hAnsi="Times New Roman"/>
          <w:sz w:val="24"/>
          <w:szCs w:val="21"/>
        </w:rPr>
        <w:t>19.2采购代理机构</w:t>
      </w:r>
      <w:r>
        <w:rPr>
          <w:rFonts w:ascii="Times New Roman" w:hAnsi="Times New Roman"/>
          <w:bCs/>
          <w:sz w:val="24"/>
          <w:szCs w:val="21"/>
        </w:rPr>
        <w:t>可以按照规定，通过修改磋商文件酌情延长提交响应文件截止日期，在此情况下，供应商的所有权利和义务以及供应商受制的截止日期均应以延长后新的截止日期为准。</w:t>
      </w:r>
    </w:p>
    <w:p w14:paraId="100FBECB">
      <w:pPr>
        <w:keepNext/>
        <w:keepLines/>
        <w:spacing w:line="560" w:lineRule="exact"/>
        <w:ind w:firstLine="422"/>
        <w:outlineLvl w:val="3"/>
        <w:rPr>
          <w:rFonts w:ascii="Times New Roman" w:hAnsi="Times New Roman"/>
          <w:b/>
          <w:sz w:val="28"/>
          <w:szCs w:val="28"/>
        </w:rPr>
      </w:pPr>
      <w:bookmarkStart w:id="149" w:name="_Toc20823299"/>
      <w:bookmarkStart w:id="150" w:name="_Toc16938543"/>
      <w:bookmarkStart w:id="151" w:name="_Toc513029227"/>
      <w:r>
        <w:rPr>
          <w:rFonts w:ascii="Times New Roman" w:hAnsi="Times New Roman"/>
          <w:b/>
          <w:sz w:val="28"/>
          <w:szCs w:val="28"/>
        </w:rPr>
        <w:t>20、响应文件</w:t>
      </w:r>
      <w:bookmarkEnd w:id="149"/>
      <w:bookmarkEnd w:id="150"/>
      <w:bookmarkEnd w:id="151"/>
      <w:r>
        <w:rPr>
          <w:rFonts w:ascii="Times New Roman" w:hAnsi="Times New Roman"/>
          <w:b/>
          <w:sz w:val="28"/>
          <w:szCs w:val="28"/>
        </w:rPr>
        <w:t>的拒收</w:t>
      </w:r>
    </w:p>
    <w:p w14:paraId="7C8394F7">
      <w:pPr>
        <w:spacing w:line="560" w:lineRule="exact"/>
        <w:ind w:firstLine="480"/>
        <w:rPr>
          <w:rFonts w:ascii="Times New Roman" w:hAnsi="Times New Roman"/>
          <w:bCs/>
          <w:sz w:val="24"/>
          <w:szCs w:val="21"/>
        </w:rPr>
      </w:pPr>
      <w:r>
        <w:rPr>
          <w:rFonts w:ascii="Times New Roman" w:hAnsi="Times New Roman"/>
          <w:bCs/>
          <w:sz w:val="24"/>
          <w:szCs w:val="21"/>
        </w:rPr>
        <w:t xml:space="preserve">20.1 </w:t>
      </w:r>
      <w:r>
        <w:rPr>
          <w:rFonts w:ascii="Times New Roman" w:hAnsi="Times New Roman"/>
          <w:sz w:val="24"/>
          <w:szCs w:val="21"/>
        </w:rPr>
        <w:t>采购代理机构</w:t>
      </w:r>
      <w:r>
        <w:rPr>
          <w:rFonts w:ascii="Times New Roman" w:hAnsi="Times New Roman"/>
          <w:bCs/>
          <w:sz w:val="24"/>
          <w:szCs w:val="21"/>
        </w:rPr>
        <w:t>拒绝接收在其规定的提交响应文件截止时间后上传的任何电子响应文件。</w:t>
      </w:r>
      <w:r>
        <w:rPr>
          <w:rFonts w:ascii="Times New Roman" w:hAnsi="Times New Roman"/>
          <w:bCs/>
          <w:sz w:val="24"/>
        </w:rPr>
        <w:t>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74A63C7A">
      <w:pPr>
        <w:keepNext/>
        <w:keepLines/>
        <w:spacing w:line="560" w:lineRule="exact"/>
        <w:ind w:firstLine="422"/>
        <w:outlineLvl w:val="3"/>
        <w:rPr>
          <w:rFonts w:ascii="Times New Roman" w:hAnsi="Times New Roman"/>
          <w:b/>
          <w:sz w:val="28"/>
          <w:szCs w:val="28"/>
        </w:rPr>
      </w:pPr>
      <w:bookmarkStart w:id="152" w:name="_Toc20823300"/>
      <w:bookmarkStart w:id="153" w:name="_Toc16938544"/>
      <w:bookmarkStart w:id="154" w:name="_Toc513029228"/>
      <w:r>
        <w:rPr>
          <w:rFonts w:ascii="Times New Roman" w:hAnsi="Times New Roman"/>
          <w:b/>
          <w:sz w:val="28"/>
          <w:szCs w:val="28"/>
        </w:rPr>
        <w:t>21、响应文件的撤回和修改</w:t>
      </w:r>
      <w:bookmarkEnd w:id="152"/>
      <w:bookmarkEnd w:id="153"/>
      <w:bookmarkEnd w:id="154"/>
    </w:p>
    <w:p w14:paraId="4B400389">
      <w:pPr>
        <w:spacing w:line="560" w:lineRule="exact"/>
        <w:ind w:firstLine="480"/>
        <w:rPr>
          <w:rFonts w:ascii="Times New Roman" w:hAnsi="Times New Roman"/>
          <w:sz w:val="24"/>
          <w:szCs w:val="21"/>
        </w:rPr>
      </w:pPr>
      <w:r>
        <w:rPr>
          <w:rFonts w:ascii="Times New Roman" w:hAnsi="Times New Roman"/>
          <w:sz w:val="24"/>
          <w:szCs w:val="21"/>
        </w:rPr>
        <w:t>21.1响应文件的撤回</w:t>
      </w:r>
    </w:p>
    <w:p w14:paraId="494452BE">
      <w:pPr>
        <w:spacing w:line="560" w:lineRule="exact"/>
        <w:ind w:firstLine="480"/>
        <w:rPr>
          <w:rFonts w:ascii="Times New Roman" w:hAnsi="Times New Roman"/>
          <w:sz w:val="24"/>
          <w:szCs w:val="21"/>
        </w:rPr>
      </w:pPr>
      <w:r>
        <w:rPr>
          <w:rFonts w:ascii="Times New Roman" w:hAnsi="Times New Roman"/>
          <w:sz w:val="24"/>
          <w:szCs w:val="21"/>
        </w:rPr>
        <w:t>21.1.1电子响应文件的撤回</w:t>
      </w:r>
    </w:p>
    <w:p w14:paraId="000400C1">
      <w:pPr>
        <w:spacing w:line="560" w:lineRule="exact"/>
        <w:ind w:firstLine="480"/>
        <w:rPr>
          <w:rFonts w:ascii="Times New Roman" w:hAnsi="Times New Roman"/>
          <w:sz w:val="24"/>
          <w:szCs w:val="21"/>
        </w:rPr>
      </w:pPr>
      <w:r>
        <w:rPr>
          <w:rFonts w:ascii="Times New Roman" w:hAnsi="Times New Roman"/>
          <w:sz w:val="24"/>
          <w:szCs w:val="21"/>
        </w:rPr>
        <w:t>供应商可在</w:t>
      </w:r>
      <w:r>
        <w:rPr>
          <w:rFonts w:ascii="Times New Roman" w:hAnsi="Times New Roman"/>
          <w:bCs/>
          <w:sz w:val="24"/>
          <w:szCs w:val="21"/>
        </w:rPr>
        <w:t>提交响应文件</w:t>
      </w:r>
      <w:r>
        <w:rPr>
          <w:rFonts w:ascii="Times New Roman" w:hAnsi="Times New Roman"/>
          <w:sz w:val="24"/>
          <w:szCs w:val="21"/>
        </w:rPr>
        <w:t>截止时间前，撤回其电子响应文件，具体操作方法见《操作手册》。</w:t>
      </w:r>
    </w:p>
    <w:p w14:paraId="69CBCAF5">
      <w:pPr>
        <w:spacing w:line="560" w:lineRule="exact"/>
        <w:ind w:firstLine="480"/>
        <w:rPr>
          <w:rFonts w:ascii="Times New Roman" w:hAnsi="Times New Roman"/>
          <w:sz w:val="24"/>
          <w:szCs w:val="24"/>
        </w:rPr>
      </w:pPr>
      <w:r>
        <w:rPr>
          <w:rFonts w:ascii="Times New Roman" w:hAnsi="Times New Roman"/>
          <w:sz w:val="24"/>
          <w:szCs w:val="24"/>
        </w:rPr>
        <w:t>21.1.2供应商撤回电子响应文件，则认为其不再参与本项目磋商活动。</w:t>
      </w:r>
    </w:p>
    <w:p w14:paraId="24C018A9">
      <w:pPr>
        <w:spacing w:line="560" w:lineRule="exact"/>
        <w:ind w:firstLine="480"/>
        <w:rPr>
          <w:rFonts w:ascii="Times New Roman" w:hAnsi="Times New Roman"/>
          <w:sz w:val="24"/>
          <w:szCs w:val="24"/>
        </w:rPr>
      </w:pPr>
      <w:r>
        <w:rPr>
          <w:rFonts w:ascii="Times New Roman" w:hAnsi="Times New Roman"/>
          <w:sz w:val="24"/>
          <w:szCs w:val="24"/>
        </w:rPr>
        <w:t>21.2响应文件的修改</w:t>
      </w:r>
    </w:p>
    <w:p w14:paraId="1A9494FF">
      <w:pPr>
        <w:spacing w:line="560" w:lineRule="exact"/>
        <w:ind w:firstLine="480"/>
        <w:rPr>
          <w:rFonts w:ascii="Times New Roman" w:hAnsi="Times New Roman"/>
          <w:sz w:val="24"/>
          <w:szCs w:val="21"/>
        </w:rPr>
      </w:pPr>
      <w:r>
        <w:rPr>
          <w:rFonts w:ascii="Times New Roman" w:hAnsi="Times New Roman"/>
          <w:sz w:val="24"/>
          <w:szCs w:val="21"/>
        </w:rPr>
        <w:t>21.2.1供应商可在</w:t>
      </w:r>
      <w:r>
        <w:rPr>
          <w:rFonts w:ascii="Times New Roman" w:hAnsi="Times New Roman"/>
          <w:bCs/>
          <w:sz w:val="24"/>
          <w:szCs w:val="21"/>
        </w:rPr>
        <w:t>提交响应文件</w:t>
      </w:r>
      <w:r>
        <w:rPr>
          <w:rFonts w:ascii="Times New Roman" w:hAnsi="Times New Roman"/>
          <w:sz w:val="24"/>
          <w:szCs w:val="21"/>
        </w:rPr>
        <w:t>截止时间前，对其电子响应文件进行修改，具体操作方法见《操作手册》。</w:t>
      </w:r>
    </w:p>
    <w:p w14:paraId="249F4E37">
      <w:pPr>
        <w:spacing w:line="560" w:lineRule="exact"/>
        <w:ind w:firstLine="480"/>
        <w:rPr>
          <w:rFonts w:ascii="Times New Roman" w:hAnsi="Times New Roman"/>
          <w:bCs/>
          <w:sz w:val="24"/>
          <w:szCs w:val="21"/>
        </w:rPr>
      </w:pPr>
      <w:r>
        <w:rPr>
          <w:rFonts w:ascii="Times New Roman" w:hAnsi="Times New Roman"/>
          <w:sz w:val="24"/>
          <w:szCs w:val="21"/>
        </w:rPr>
        <w:t>21.2.2</w:t>
      </w:r>
      <w:r>
        <w:rPr>
          <w:rFonts w:ascii="Times New Roman" w:hAnsi="Times New Roman"/>
          <w:bCs/>
          <w:sz w:val="24"/>
          <w:szCs w:val="21"/>
        </w:rPr>
        <w:t>在提交响应文件截止时间之后，供应商不得对其电子响应文件作任何修改。</w:t>
      </w:r>
    </w:p>
    <w:p w14:paraId="5C853F41">
      <w:pPr>
        <w:spacing w:line="560" w:lineRule="exact"/>
        <w:ind w:firstLine="480"/>
        <w:rPr>
          <w:rFonts w:ascii="Times New Roman" w:hAnsi="Times New Roman"/>
          <w:bCs/>
          <w:sz w:val="24"/>
          <w:szCs w:val="21"/>
        </w:rPr>
      </w:pPr>
      <w:r>
        <w:rPr>
          <w:rFonts w:ascii="Times New Roman" w:hAnsi="Times New Roman"/>
          <w:sz w:val="24"/>
          <w:szCs w:val="21"/>
        </w:rPr>
        <w:t>21.3</w:t>
      </w:r>
      <w:r>
        <w:rPr>
          <w:rFonts w:ascii="Times New Roman" w:hAnsi="Times New Roman"/>
          <w:bCs/>
          <w:sz w:val="24"/>
          <w:szCs w:val="21"/>
        </w:rPr>
        <w:t>在提交响应文件截止时间至磋商文件中规定的磋商有效期满之间的这段时间内，供应商不得撤回其响应文件。</w:t>
      </w:r>
    </w:p>
    <w:p w14:paraId="1F2AE2BE">
      <w:pPr>
        <w:keepNext/>
        <w:keepLines/>
        <w:spacing w:line="560" w:lineRule="exact"/>
        <w:ind w:firstLine="482"/>
        <w:outlineLvl w:val="2"/>
        <w:rPr>
          <w:rFonts w:ascii="Times New Roman" w:hAnsi="Times New Roman"/>
          <w:b/>
          <w:bCs/>
          <w:sz w:val="32"/>
          <w:szCs w:val="32"/>
        </w:rPr>
      </w:pPr>
      <w:bookmarkStart w:id="155" w:name="_Toc120614218"/>
      <w:bookmarkStart w:id="156" w:name="_Toc513029229"/>
      <w:bookmarkStart w:id="157" w:name="_Toc21794"/>
      <w:bookmarkStart w:id="158" w:name="_Toc16938545"/>
      <w:bookmarkStart w:id="159" w:name="_Toc20823301"/>
      <w:r>
        <w:rPr>
          <w:rFonts w:ascii="Times New Roman" w:hAnsi="Times New Roman"/>
          <w:b/>
          <w:bCs/>
          <w:sz w:val="32"/>
          <w:szCs w:val="32"/>
        </w:rPr>
        <w:t>五、响应文件的解密与评审</w:t>
      </w:r>
      <w:bookmarkEnd w:id="155"/>
      <w:bookmarkEnd w:id="156"/>
      <w:bookmarkEnd w:id="157"/>
      <w:bookmarkEnd w:id="158"/>
      <w:bookmarkEnd w:id="159"/>
    </w:p>
    <w:p w14:paraId="06E5B0B8">
      <w:pPr>
        <w:keepNext/>
        <w:keepLines/>
        <w:spacing w:line="560" w:lineRule="exact"/>
        <w:ind w:firstLine="422"/>
        <w:outlineLvl w:val="3"/>
        <w:rPr>
          <w:rFonts w:ascii="Times New Roman" w:hAnsi="Times New Roman"/>
          <w:b/>
          <w:sz w:val="28"/>
          <w:szCs w:val="28"/>
        </w:rPr>
      </w:pPr>
      <w:bookmarkStart w:id="160" w:name="_Toc20823302"/>
      <w:bookmarkStart w:id="161" w:name="_Toc16938546"/>
      <w:bookmarkStart w:id="162" w:name="_Toc513029230"/>
      <w:r>
        <w:rPr>
          <w:rFonts w:ascii="Times New Roman" w:hAnsi="Times New Roman"/>
          <w:b/>
          <w:sz w:val="28"/>
          <w:szCs w:val="28"/>
        </w:rPr>
        <w:t>22、</w:t>
      </w:r>
      <w:bookmarkEnd w:id="160"/>
      <w:bookmarkEnd w:id="161"/>
      <w:bookmarkEnd w:id="162"/>
      <w:r>
        <w:rPr>
          <w:rFonts w:ascii="Times New Roman" w:hAnsi="Times New Roman"/>
          <w:b/>
          <w:sz w:val="28"/>
          <w:szCs w:val="28"/>
        </w:rPr>
        <w:t>响应文件解密</w:t>
      </w:r>
    </w:p>
    <w:p w14:paraId="12E52996">
      <w:pPr>
        <w:spacing w:line="560" w:lineRule="exact"/>
        <w:ind w:firstLine="360"/>
        <w:rPr>
          <w:rFonts w:ascii="Times New Roman" w:hAnsi="Times New Roman"/>
          <w:szCs w:val="21"/>
        </w:rPr>
      </w:pPr>
      <w:r>
        <w:rPr>
          <w:rFonts w:ascii="Times New Roman" w:hAnsi="Times New Roman"/>
          <w:sz w:val="24"/>
          <w:szCs w:val="21"/>
        </w:rPr>
        <w:t>22.1</w:t>
      </w:r>
      <w:r>
        <w:rPr>
          <w:rFonts w:ascii="Times New Roman" w:hAnsi="Times New Roman"/>
          <w:sz w:val="24"/>
          <w:szCs w:val="24"/>
        </w:rPr>
        <w:t>供应商应当</w:t>
      </w:r>
      <w:r>
        <w:rPr>
          <w:rFonts w:ascii="Times New Roman" w:hAnsi="Times New Roman"/>
          <w:sz w:val="24"/>
          <w:szCs w:val="21"/>
        </w:rPr>
        <w:t>按照《“苏采云”系统供应商操作手册》规定</w:t>
      </w:r>
      <w:r>
        <w:rPr>
          <w:rFonts w:ascii="Times New Roman" w:hAnsi="Times New Roman"/>
          <w:sz w:val="24"/>
          <w:szCs w:val="24"/>
        </w:rPr>
        <w:t>，参加磋商活动和在苏采云系统规定的时间内对磋商响应文件进行解密。</w:t>
      </w:r>
    </w:p>
    <w:p w14:paraId="6F715FFE">
      <w:pPr>
        <w:keepNext/>
        <w:keepLines/>
        <w:spacing w:line="560" w:lineRule="exact"/>
        <w:ind w:firstLine="422"/>
        <w:outlineLvl w:val="3"/>
        <w:rPr>
          <w:rFonts w:ascii="Times New Roman" w:hAnsi="Times New Roman"/>
          <w:b/>
          <w:sz w:val="28"/>
          <w:szCs w:val="28"/>
        </w:rPr>
      </w:pPr>
      <w:bookmarkStart w:id="163" w:name="_Toc16938547"/>
      <w:bookmarkStart w:id="164" w:name="_Toc513029231"/>
      <w:bookmarkStart w:id="165" w:name="_Toc20823303"/>
      <w:r>
        <w:rPr>
          <w:rFonts w:ascii="Times New Roman" w:hAnsi="Times New Roman"/>
          <w:b/>
          <w:sz w:val="28"/>
          <w:szCs w:val="28"/>
        </w:rPr>
        <w:t>23、磋商小组</w:t>
      </w:r>
    </w:p>
    <w:p w14:paraId="37387E70">
      <w:pPr>
        <w:spacing w:line="560" w:lineRule="exact"/>
        <w:ind w:firstLine="480"/>
        <w:rPr>
          <w:rFonts w:ascii="Times New Roman" w:hAnsi="Times New Roman"/>
          <w:b/>
          <w:sz w:val="24"/>
          <w:szCs w:val="24"/>
        </w:rPr>
      </w:pPr>
      <w:r>
        <w:rPr>
          <w:rFonts w:ascii="Times New Roman" w:hAnsi="Times New Roman"/>
          <w:sz w:val="24"/>
          <w:szCs w:val="24"/>
        </w:rPr>
        <w:t>23.1</w:t>
      </w:r>
      <w:r>
        <w:rPr>
          <w:rFonts w:ascii="Times New Roman" w:hAnsi="Times New Roman"/>
          <w:sz w:val="24"/>
          <w:szCs w:val="21"/>
        </w:rPr>
        <w:t>采购代理机构</w:t>
      </w:r>
      <w:r>
        <w:rPr>
          <w:rFonts w:ascii="Times New Roman" w:hAnsi="Times New Roman"/>
          <w:sz w:val="24"/>
          <w:szCs w:val="24"/>
        </w:rPr>
        <w:t>将组织磋商小组对响应文件进行评审。磋商小组由采购人代表和有关技术、经济等方面的专家组成，且人员构成符合政府采购有关规定。</w:t>
      </w:r>
    </w:p>
    <w:p w14:paraId="4A3FBA05">
      <w:pPr>
        <w:spacing w:line="560" w:lineRule="exact"/>
        <w:ind w:firstLine="480"/>
        <w:rPr>
          <w:rFonts w:ascii="Times New Roman" w:hAnsi="Times New Roman"/>
          <w:sz w:val="24"/>
          <w:szCs w:val="24"/>
        </w:rPr>
      </w:pPr>
      <w:r>
        <w:rPr>
          <w:rFonts w:ascii="Times New Roman" w:hAnsi="Times New Roman"/>
          <w:sz w:val="24"/>
          <w:szCs w:val="24"/>
        </w:rPr>
        <w:t>23.2磋商小组独立工作，负责评审所有响应文件并确定成交侯选人。</w:t>
      </w:r>
    </w:p>
    <w:p w14:paraId="79979D67">
      <w:pPr>
        <w:keepNext/>
        <w:keepLines/>
        <w:spacing w:line="560" w:lineRule="exact"/>
        <w:ind w:firstLine="422"/>
        <w:outlineLvl w:val="3"/>
        <w:rPr>
          <w:rFonts w:ascii="Times New Roman" w:hAnsi="Times New Roman"/>
          <w:b/>
          <w:sz w:val="28"/>
          <w:szCs w:val="28"/>
        </w:rPr>
      </w:pPr>
      <w:r>
        <w:rPr>
          <w:rFonts w:ascii="Times New Roman" w:hAnsi="Times New Roman"/>
          <w:b/>
          <w:sz w:val="28"/>
          <w:szCs w:val="28"/>
        </w:rPr>
        <w:t>24、评审过程的保密与公正</w:t>
      </w:r>
      <w:bookmarkEnd w:id="163"/>
      <w:bookmarkEnd w:id="164"/>
      <w:bookmarkEnd w:id="165"/>
    </w:p>
    <w:p w14:paraId="46243E87">
      <w:pPr>
        <w:spacing w:line="560" w:lineRule="exact"/>
        <w:ind w:firstLine="480"/>
        <w:rPr>
          <w:rFonts w:ascii="Times New Roman" w:hAnsi="Times New Roman"/>
          <w:bCs/>
          <w:sz w:val="24"/>
          <w:szCs w:val="21"/>
        </w:rPr>
      </w:pPr>
      <w:r>
        <w:rPr>
          <w:rFonts w:ascii="Times New Roman" w:hAnsi="Times New Roman"/>
          <w:sz w:val="24"/>
          <w:szCs w:val="21"/>
        </w:rPr>
        <w:t>24.1</w:t>
      </w:r>
      <w:r>
        <w:rPr>
          <w:rFonts w:ascii="Times New Roman" w:hAnsi="Times New Roman"/>
          <w:bCs/>
          <w:sz w:val="24"/>
          <w:szCs w:val="21"/>
        </w:rPr>
        <w:t>磋商小组、采购人和</w:t>
      </w:r>
      <w:r>
        <w:rPr>
          <w:rFonts w:ascii="Times New Roman" w:hAnsi="Times New Roman"/>
          <w:sz w:val="24"/>
          <w:szCs w:val="21"/>
        </w:rPr>
        <w:t>采购代理机构</w:t>
      </w:r>
      <w:r>
        <w:rPr>
          <w:rFonts w:ascii="Times New Roman" w:hAnsi="Times New Roman"/>
          <w:bCs/>
          <w:sz w:val="24"/>
          <w:szCs w:val="21"/>
        </w:rPr>
        <w:t>工作人员、相关监督人员等与评审工作有关的人员，对评审情况以及在评审过程中获悉的国家秘密、商业秘密负有保密责任。</w:t>
      </w:r>
    </w:p>
    <w:p w14:paraId="3A808904">
      <w:pPr>
        <w:spacing w:line="560" w:lineRule="exact"/>
        <w:ind w:firstLine="480"/>
        <w:rPr>
          <w:rFonts w:ascii="Times New Roman" w:hAnsi="Times New Roman"/>
          <w:sz w:val="24"/>
          <w:szCs w:val="24"/>
        </w:rPr>
      </w:pPr>
      <w:r>
        <w:rPr>
          <w:rFonts w:ascii="Times New Roman" w:hAnsi="Times New Roman"/>
          <w:sz w:val="24"/>
          <w:szCs w:val="21"/>
        </w:rPr>
        <w:t>24.2</w:t>
      </w:r>
      <w:r>
        <w:rPr>
          <w:rFonts w:ascii="Times New Roman" w:hAnsi="Times New Roman"/>
          <w:sz w:val="24"/>
          <w:szCs w:val="24"/>
        </w:rPr>
        <w:t>在评审过程中，供应商不得以任何行为影响磋商评审过程，否则其响应文件将被作为无效响应文件。</w:t>
      </w:r>
    </w:p>
    <w:p w14:paraId="01DE0D12">
      <w:pPr>
        <w:spacing w:line="560" w:lineRule="exact"/>
        <w:ind w:firstLine="480"/>
        <w:rPr>
          <w:rFonts w:ascii="Times New Roman" w:hAnsi="Times New Roman"/>
          <w:sz w:val="24"/>
          <w:szCs w:val="24"/>
        </w:rPr>
      </w:pPr>
      <w:r>
        <w:rPr>
          <w:rFonts w:ascii="Times New Roman" w:hAnsi="Times New Roman"/>
          <w:sz w:val="24"/>
          <w:szCs w:val="21"/>
        </w:rPr>
        <w:t>24.3</w:t>
      </w:r>
      <w:r>
        <w:rPr>
          <w:rFonts w:ascii="Times New Roman" w:hAnsi="Times New Roman"/>
          <w:sz w:val="24"/>
          <w:szCs w:val="24"/>
        </w:rPr>
        <w:t>在项目评审期间，</w:t>
      </w:r>
      <w:r>
        <w:rPr>
          <w:rFonts w:ascii="Times New Roman" w:hAnsi="Times New Roman"/>
          <w:sz w:val="24"/>
          <w:szCs w:val="21"/>
        </w:rPr>
        <w:t>采购代理机构</w:t>
      </w:r>
      <w:r>
        <w:rPr>
          <w:rFonts w:ascii="Times New Roman" w:hAnsi="Times New Roman"/>
          <w:sz w:val="24"/>
          <w:szCs w:val="24"/>
        </w:rPr>
        <w:t>将设专门人员与供应商联系。</w:t>
      </w:r>
    </w:p>
    <w:p w14:paraId="3FFB5FC8">
      <w:pPr>
        <w:spacing w:line="560" w:lineRule="exact"/>
        <w:ind w:firstLine="480"/>
        <w:rPr>
          <w:rFonts w:ascii="Times New Roman" w:hAnsi="Times New Roman"/>
          <w:sz w:val="24"/>
          <w:szCs w:val="24"/>
        </w:rPr>
      </w:pPr>
      <w:r>
        <w:rPr>
          <w:rFonts w:ascii="Times New Roman" w:hAnsi="Times New Roman"/>
          <w:sz w:val="24"/>
          <w:szCs w:val="24"/>
        </w:rPr>
        <w:t xml:space="preserve">24.4 </w:t>
      </w:r>
      <w:r>
        <w:rPr>
          <w:rFonts w:ascii="Times New Roman" w:hAnsi="Times New Roman"/>
          <w:sz w:val="24"/>
          <w:szCs w:val="21"/>
        </w:rPr>
        <w:t>采购代理机构</w:t>
      </w:r>
      <w:r>
        <w:rPr>
          <w:rFonts w:ascii="Times New Roman" w:hAnsi="Times New Roman"/>
          <w:sz w:val="24"/>
          <w:szCs w:val="24"/>
        </w:rPr>
        <w:t>和磋商小组不向未成交的供应商解释未成交原因，也不公布评审过程中的相关细节。</w:t>
      </w:r>
    </w:p>
    <w:p w14:paraId="09FCFD08">
      <w:pPr>
        <w:keepNext/>
        <w:keepLines/>
        <w:spacing w:line="560" w:lineRule="exact"/>
        <w:ind w:firstLine="422"/>
        <w:outlineLvl w:val="3"/>
        <w:rPr>
          <w:rFonts w:ascii="Times New Roman" w:hAnsi="Times New Roman"/>
          <w:b/>
          <w:sz w:val="28"/>
          <w:szCs w:val="28"/>
        </w:rPr>
      </w:pPr>
      <w:bookmarkStart w:id="166" w:name="_Toc513029232"/>
      <w:bookmarkStart w:id="167" w:name="_Toc16938548"/>
      <w:bookmarkStart w:id="168" w:name="_Toc20823304"/>
      <w:r>
        <w:rPr>
          <w:rFonts w:ascii="Times New Roman" w:hAnsi="Times New Roman"/>
          <w:b/>
          <w:sz w:val="28"/>
          <w:szCs w:val="28"/>
        </w:rPr>
        <w:t>25、评审过程中的的澄清</w:t>
      </w:r>
      <w:bookmarkEnd w:id="166"/>
      <w:bookmarkEnd w:id="167"/>
      <w:bookmarkEnd w:id="168"/>
    </w:p>
    <w:p w14:paraId="0D6DEEBD">
      <w:pPr>
        <w:spacing w:line="560" w:lineRule="exact"/>
        <w:ind w:firstLine="480"/>
        <w:rPr>
          <w:rFonts w:ascii="Times New Roman" w:hAnsi="Times New Roman"/>
          <w:sz w:val="24"/>
          <w:szCs w:val="24"/>
        </w:rPr>
      </w:pPr>
      <w:r>
        <w:rPr>
          <w:rFonts w:ascii="Times New Roman" w:hAnsi="Times New Roman"/>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A2DFC82">
      <w:pPr>
        <w:spacing w:line="560" w:lineRule="exact"/>
        <w:ind w:firstLine="480"/>
        <w:rPr>
          <w:rFonts w:ascii="Times New Roman" w:hAnsi="Times New Roman"/>
          <w:sz w:val="24"/>
          <w:szCs w:val="24"/>
        </w:rPr>
      </w:pPr>
      <w:r>
        <w:rPr>
          <w:rFonts w:ascii="Times New Roman" w:hAnsi="Times New Roman"/>
          <w:sz w:val="24"/>
          <w:szCs w:val="24"/>
        </w:rPr>
        <w:t>磋商小组并非对每个供应商都作澄清要求。</w:t>
      </w:r>
    </w:p>
    <w:p w14:paraId="315C1ADA">
      <w:pPr>
        <w:spacing w:line="560" w:lineRule="exact"/>
        <w:ind w:firstLine="480"/>
        <w:rPr>
          <w:rFonts w:ascii="Times New Roman" w:hAnsi="Times New Roman"/>
          <w:sz w:val="24"/>
          <w:szCs w:val="24"/>
        </w:rPr>
      </w:pPr>
      <w:r>
        <w:rPr>
          <w:rFonts w:ascii="Times New Roman" w:hAnsi="Times New Roman"/>
          <w:sz w:val="24"/>
          <w:szCs w:val="24"/>
        </w:rPr>
        <w:t>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p>
    <w:p w14:paraId="03613545">
      <w:pPr>
        <w:spacing w:line="560" w:lineRule="exact"/>
        <w:ind w:firstLine="480"/>
        <w:rPr>
          <w:rFonts w:ascii="Times New Roman" w:hAnsi="Times New Roman"/>
          <w:sz w:val="24"/>
          <w:szCs w:val="24"/>
        </w:rPr>
      </w:pPr>
      <w:r>
        <w:rPr>
          <w:rFonts w:ascii="Times New Roman" w:hAnsi="Times New Roman"/>
          <w:sz w:val="24"/>
          <w:szCs w:val="24"/>
        </w:rPr>
        <w:t>25.3 接到磋商小组澄清、说明和更正要求的供应商如未按规定做出澄清、说明和 更正，其风险由供应商自行承担。</w:t>
      </w:r>
    </w:p>
    <w:p w14:paraId="1BF39381">
      <w:pPr>
        <w:keepNext/>
        <w:keepLines/>
        <w:spacing w:line="560" w:lineRule="exact"/>
        <w:ind w:firstLine="422"/>
        <w:outlineLvl w:val="3"/>
        <w:rPr>
          <w:rFonts w:ascii="Times New Roman" w:hAnsi="Times New Roman"/>
          <w:b/>
          <w:sz w:val="28"/>
          <w:szCs w:val="28"/>
        </w:rPr>
      </w:pPr>
      <w:bookmarkStart w:id="169" w:name="_Toc16938549"/>
      <w:bookmarkStart w:id="170" w:name="_Toc20823305"/>
      <w:bookmarkStart w:id="171" w:name="_Toc513029233"/>
      <w:r>
        <w:rPr>
          <w:rFonts w:ascii="Times New Roman" w:hAnsi="Times New Roman"/>
          <w:b/>
          <w:sz w:val="28"/>
          <w:szCs w:val="28"/>
        </w:rPr>
        <w:t>26、对响应文件的审</w:t>
      </w:r>
      <w:bookmarkEnd w:id="169"/>
      <w:bookmarkEnd w:id="170"/>
      <w:bookmarkEnd w:id="171"/>
      <w:r>
        <w:rPr>
          <w:rFonts w:ascii="Times New Roman" w:hAnsi="Times New Roman"/>
          <w:b/>
          <w:sz w:val="28"/>
          <w:szCs w:val="28"/>
        </w:rPr>
        <w:t>查</w:t>
      </w:r>
    </w:p>
    <w:p w14:paraId="20A1BBB5">
      <w:pPr>
        <w:spacing w:line="560" w:lineRule="exact"/>
        <w:ind w:firstLine="480"/>
        <w:rPr>
          <w:rFonts w:ascii="Times New Roman" w:hAnsi="Times New Roman"/>
          <w:bCs/>
          <w:sz w:val="24"/>
          <w:szCs w:val="21"/>
        </w:rPr>
      </w:pPr>
      <w:r>
        <w:rPr>
          <w:rFonts w:ascii="Times New Roman" w:hAnsi="Times New Roman"/>
          <w:sz w:val="24"/>
          <w:szCs w:val="21"/>
        </w:rPr>
        <w:t>26.1</w:t>
      </w:r>
      <w:r>
        <w:rPr>
          <w:rFonts w:ascii="Times New Roman" w:hAnsi="Times New Roman"/>
          <w:bCs/>
          <w:sz w:val="24"/>
          <w:szCs w:val="21"/>
        </w:rPr>
        <w:t>响应文件审查分为资格审查和符合性审查。</w:t>
      </w:r>
    </w:p>
    <w:p w14:paraId="2CE32471">
      <w:pPr>
        <w:spacing w:line="560" w:lineRule="exact"/>
        <w:ind w:firstLine="480"/>
        <w:rPr>
          <w:rFonts w:ascii="Times New Roman" w:hAnsi="Times New Roman"/>
          <w:bCs/>
          <w:sz w:val="24"/>
          <w:szCs w:val="21"/>
        </w:rPr>
      </w:pPr>
      <w:r>
        <w:rPr>
          <w:rFonts w:ascii="Times New Roman" w:hAnsi="Times New Roman"/>
          <w:bCs/>
          <w:sz w:val="24"/>
          <w:szCs w:val="21"/>
        </w:rPr>
        <w:t>26.1.1 资格审查：由磋商小组依据法律法规和磋商文件的规定，对响应文件中的资格证明文件进行审查，以确定供应商是否具备参加磋商的资格。</w:t>
      </w:r>
    </w:p>
    <w:p w14:paraId="667758E8">
      <w:pPr>
        <w:spacing w:line="560" w:lineRule="exact"/>
        <w:ind w:firstLine="480"/>
        <w:rPr>
          <w:rFonts w:ascii="Times New Roman" w:hAnsi="Times New Roman"/>
          <w:bCs/>
          <w:sz w:val="24"/>
          <w:szCs w:val="21"/>
        </w:rPr>
      </w:pPr>
      <w:r>
        <w:rPr>
          <w:rFonts w:ascii="Times New Roman" w:hAnsi="Times New Roman"/>
          <w:bCs/>
          <w:sz w:val="24"/>
          <w:szCs w:val="21"/>
        </w:rPr>
        <w:t>磋商小组在进行资格审查的同时，将在“信用中国”网站（www.creditchina.gov.cn）查询供应商的信用记录，以确定供应商是否具备磋商资格,查询结果留存并归档。</w:t>
      </w:r>
    </w:p>
    <w:p w14:paraId="6BFC00A1">
      <w:pPr>
        <w:spacing w:line="560" w:lineRule="exact"/>
        <w:ind w:firstLine="480"/>
        <w:rPr>
          <w:rFonts w:ascii="Times New Roman" w:hAnsi="Times New Roman"/>
          <w:bCs/>
          <w:sz w:val="24"/>
          <w:szCs w:val="21"/>
        </w:rPr>
      </w:pPr>
      <w:r>
        <w:rPr>
          <w:rFonts w:ascii="Times New Roman" w:hAnsi="Times New Roman"/>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1E70BE90">
      <w:pPr>
        <w:spacing w:line="560" w:lineRule="exact"/>
        <w:ind w:firstLine="480"/>
        <w:rPr>
          <w:rFonts w:ascii="Times New Roman" w:hAnsi="Times New Roman"/>
          <w:bCs/>
          <w:sz w:val="24"/>
          <w:szCs w:val="21"/>
        </w:rPr>
      </w:pPr>
      <w:r>
        <w:rPr>
          <w:rFonts w:ascii="Times New Roman" w:hAnsi="Times New Roman"/>
          <w:bCs/>
          <w:sz w:val="24"/>
          <w:szCs w:val="21"/>
        </w:rPr>
        <w:t>26.1.2 符合性审查：依据磋商文件的规定，由磋商小组从响应文件的有效性、完整性和对磋商文件的响应程度进行审查，以确定是否对磋商文件的实质性要求作出响应。</w:t>
      </w:r>
    </w:p>
    <w:p w14:paraId="2505ED97">
      <w:pPr>
        <w:spacing w:line="560" w:lineRule="exact"/>
        <w:ind w:firstLine="480"/>
        <w:rPr>
          <w:rFonts w:ascii="Times New Roman" w:hAnsi="Times New Roman"/>
          <w:bCs/>
          <w:sz w:val="24"/>
          <w:szCs w:val="21"/>
        </w:rPr>
      </w:pPr>
      <w:r>
        <w:rPr>
          <w:rFonts w:ascii="Times New Roman" w:hAnsi="Times New Roman"/>
          <w:bCs/>
          <w:sz w:val="24"/>
          <w:szCs w:val="21"/>
        </w:rPr>
        <w:t>26.1.3 未通过资格审查或符合性审查的供应商，磋商小组将在</w:t>
      </w:r>
      <w:r>
        <w:rPr>
          <w:rFonts w:ascii="Times New Roman" w:hAnsi="Times New Roman"/>
          <w:sz w:val="24"/>
          <w:szCs w:val="24"/>
        </w:rPr>
        <w:t>苏采云系统</w:t>
      </w:r>
      <w:r>
        <w:rPr>
          <w:rFonts w:ascii="Times New Roman" w:hAnsi="Times New Roman"/>
          <w:bCs/>
          <w:sz w:val="24"/>
          <w:szCs w:val="21"/>
        </w:rPr>
        <w:t>中告知未通过资格审查或符合性审查的原因，评审结束后，磋商小组将不再告知未通过资格审查或符合性审查的原因。</w:t>
      </w:r>
    </w:p>
    <w:p w14:paraId="5B96CA29">
      <w:pPr>
        <w:spacing w:line="560" w:lineRule="exact"/>
        <w:ind w:firstLine="480"/>
        <w:rPr>
          <w:rFonts w:ascii="Times New Roman" w:hAnsi="Times New Roman"/>
          <w:sz w:val="24"/>
          <w:szCs w:val="24"/>
        </w:rPr>
      </w:pPr>
      <w:r>
        <w:rPr>
          <w:rFonts w:ascii="Times New Roman" w:hAnsi="Times New Roman"/>
          <w:sz w:val="24"/>
          <w:szCs w:val="21"/>
        </w:rPr>
        <w:t>26.2</w:t>
      </w:r>
      <w:r>
        <w:rPr>
          <w:rFonts w:ascii="Times New Roman" w:hAnsi="Times New Roman"/>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5F94D497">
      <w:pPr>
        <w:spacing w:line="560" w:lineRule="exact"/>
        <w:ind w:firstLine="480"/>
        <w:rPr>
          <w:rFonts w:ascii="Times New Roman" w:hAnsi="Times New Roman"/>
          <w:sz w:val="24"/>
          <w:szCs w:val="24"/>
        </w:rPr>
      </w:pPr>
      <w:r>
        <w:rPr>
          <w:rFonts w:ascii="Times New Roman" w:hAnsi="Times New Roman"/>
          <w:sz w:val="24"/>
          <w:szCs w:val="24"/>
        </w:rPr>
        <w:t>所谓重大偏离或保留是指与磋商文件规定的实质性要求存在负偏离，或者在实质上与磋商文件不一致，而且限制了合同中买方和</w:t>
      </w:r>
      <w:r>
        <w:rPr>
          <w:rFonts w:ascii="Times New Roman" w:hAnsi="Times New Roman"/>
          <w:sz w:val="24"/>
          <w:szCs w:val="21"/>
        </w:rPr>
        <w:t>采购代理机构</w:t>
      </w:r>
      <w:r>
        <w:rPr>
          <w:rFonts w:ascii="Times New Roman" w:hAnsi="Times New Roman"/>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7EBBD78">
      <w:pPr>
        <w:spacing w:line="560" w:lineRule="exact"/>
        <w:ind w:firstLine="480"/>
        <w:rPr>
          <w:rFonts w:ascii="Times New Roman" w:hAnsi="Times New Roman"/>
          <w:bCs/>
          <w:sz w:val="24"/>
          <w:szCs w:val="21"/>
        </w:rPr>
      </w:pPr>
      <w:r>
        <w:rPr>
          <w:rFonts w:ascii="Times New Roman" w:hAnsi="Times New Roman"/>
          <w:bCs/>
          <w:sz w:val="24"/>
          <w:szCs w:val="21"/>
        </w:rPr>
        <w:t>26.3未实质性响应磋商文件的情形</w:t>
      </w:r>
    </w:p>
    <w:p w14:paraId="779C3AA6">
      <w:pPr>
        <w:spacing w:line="560" w:lineRule="exact"/>
        <w:ind w:firstLine="480"/>
        <w:rPr>
          <w:rFonts w:ascii="Times New Roman" w:hAnsi="Times New Roman"/>
          <w:bCs/>
          <w:sz w:val="24"/>
          <w:szCs w:val="21"/>
        </w:rPr>
      </w:pPr>
      <w:r>
        <w:rPr>
          <w:rFonts w:ascii="Times New Roman" w:hAnsi="Times New Roman"/>
          <w:bCs/>
          <w:sz w:val="24"/>
          <w:szCs w:val="21"/>
        </w:rPr>
        <w:t>26.3.1供应商在</w:t>
      </w:r>
      <w:r>
        <w:rPr>
          <w:rFonts w:ascii="Times New Roman" w:hAnsi="Times New Roman"/>
          <w:sz w:val="24"/>
          <w:szCs w:val="24"/>
        </w:rPr>
        <w:t>苏采云系统</w:t>
      </w:r>
      <w:r>
        <w:rPr>
          <w:rFonts w:ascii="Times New Roman" w:hAnsi="Times New Roman"/>
          <w:bCs/>
          <w:sz w:val="24"/>
          <w:szCs w:val="21"/>
        </w:rPr>
        <w:t>规定的时间内未成功解密电子响应文件的。</w:t>
      </w:r>
    </w:p>
    <w:p w14:paraId="44B42731">
      <w:pPr>
        <w:spacing w:line="560" w:lineRule="exact"/>
        <w:ind w:firstLine="480"/>
        <w:rPr>
          <w:rFonts w:ascii="Times New Roman" w:hAnsi="Times New Roman"/>
          <w:bCs/>
          <w:sz w:val="24"/>
          <w:szCs w:val="21"/>
        </w:rPr>
      </w:pPr>
      <w:r>
        <w:rPr>
          <w:rFonts w:ascii="Times New Roman" w:hAnsi="Times New Roman"/>
          <w:bCs/>
          <w:sz w:val="24"/>
          <w:szCs w:val="21"/>
        </w:rPr>
        <w:t>26.3.2供应商未按照磋商文件要求上传电子响应文件的。</w:t>
      </w:r>
    </w:p>
    <w:p w14:paraId="405FD360">
      <w:pPr>
        <w:spacing w:line="560" w:lineRule="exact"/>
        <w:ind w:firstLine="480"/>
        <w:rPr>
          <w:rFonts w:ascii="Times New Roman" w:hAnsi="Times New Roman"/>
          <w:bCs/>
          <w:sz w:val="24"/>
          <w:szCs w:val="21"/>
        </w:rPr>
      </w:pPr>
      <w:r>
        <w:rPr>
          <w:rFonts w:ascii="Times New Roman" w:hAnsi="Times New Roman"/>
          <w:bCs/>
          <w:sz w:val="24"/>
          <w:szCs w:val="21"/>
        </w:rPr>
        <w:t>26.3.3同一供应商提交两个（含两个）以上不同的响应文件或者最后报价的。</w:t>
      </w:r>
    </w:p>
    <w:p w14:paraId="3AE0B4D6">
      <w:pPr>
        <w:spacing w:line="560" w:lineRule="exact"/>
        <w:ind w:firstLine="480"/>
        <w:rPr>
          <w:rFonts w:ascii="Times New Roman" w:hAnsi="Times New Roman"/>
          <w:bCs/>
          <w:sz w:val="24"/>
          <w:szCs w:val="21"/>
        </w:rPr>
      </w:pPr>
      <w:r>
        <w:rPr>
          <w:rFonts w:ascii="Times New Roman" w:hAnsi="Times New Roman"/>
          <w:bCs/>
          <w:sz w:val="24"/>
          <w:szCs w:val="21"/>
        </w:rPr>
        <w:t>26.3.4供应商不具备磋商文件中规定资格要求的。</w:t>
      </w:r>
    </w:p>
    <w:p w14:paraId="4F9A9E53">
      <w:pPr>
        <w:spacing w:line="560" w:lineRule="exact"/>
        <w:ind w:firstLine="480"/>
        <w:rPr>
          <w:rFonts w:ascii="Times New Roman" w:hAnsi="Times New Roman"/>
          <w:bCs/>
          <w:sz w:val="24"/>
          <w:szCs w:val="21"/>
        </w:rPr>
      </w:pPr>
      <w:r>
        <w:rPr>
          <w:rFonts w:ascii="Times New Roman" w:hAnsi="Times New Roman"/>
          <w:bCs/>
          <w:sz w:val="24"/>
          <w:szCs w:val="21"/>
        </w:rPr>
        <w:t>26.3.5供应商的最后报价超过了采购预算。</w:t>
      </w:r>
    </w:p>
    <w:p w14:paraId="2987BF1E">
      <w:pPr>
        <w:spacing w:line="560" w:lineRule="exact"/>
        <w:ind w:firstLine="480"/>
        <w:rPr>
          <w:rFonts w:ascii="Times New Roman" w:hAnsi="Times New Roman"/>
          <w:bCs/>
          <w:sz w:val="24"/>
          <w:szCs w:val="21"/>
        </w:rPr>
      </w:pPr>
      <w:r>
        <w:rPr>
          <w:rFonts w:ascii="Times New Roman" w:hAnsi="Times New Roman"/>
          <w:bCs/>
          <w:sz w:val="24"/>
          <w:szCs w:val="21"/>
        </w:rPr>
        <w:t>26.3.6不符合磋商文件中规定的实质性要求和条件的</w:t>
      </w:r>
      <w:r>
        <w:rPr>
          <w:rFonts w:ascii="Times New Roman" w:hAnsi="Times New Roman"/>
          <w:bCs/>
          <w:sz w:val="24"/>
        </w:rPr>
        <w:t>（本磋商文件中加</w:t>
      </w:r>
      <w:r>
        <w:rPr>
          <w:rFonts w:ascii="Times New Roman" w:hAnsi="宋体"/>
          <w:bCs/>
          <w:sz w:val="24"/>
        </w:rPr>
        <w:t>★</w:t>
      </w:r>
      <w:r>
        <w:rPr>
          <w:rFonts w:ascii="Times New Roman" w:hAnsi="Times New Roman"/>
          <w:bCs/>
          <w:sz w:val="24"/>
        </w:rPr>
        <w:t>项为实质性要求和条件）。</w:t>
      </w:r>
    </w:p>
    <w:p w14:paraId="21F90A86">
      <w:pPr>
        <w:spacing w:line="560" w:lineRule="exact"/>
        <w:ind w:firstLine="480"/>
        <w:rPr>
          <w:rFonts w:ascii="Times New Roman" w:hAnsi="Times New Roman"/>
          <w:bCs/>
          <w:sz w:val="24"/>
          <w:szCs w:val="21"/>
        </w:rPr>
      </w:pPr>
      <w:r>
        <w:rPr>
          <w:rFonts w:ascii="Times New Roman" w:hAnsi="Times New Roman"/>
          <w:bCs/>
          <w:sz w:val="24"/>
          <w:szCs w:val="21"/>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40EF589">
      <w:pPr>
        <w:spacing w:line="560" w:lineRule="exact"/>
        <w:ind w:firstLine="480"/>
        <w:rPr>
          <w:rFonts w:ascii="Times New Roman" w:hAnsi="Times New Roman"/>
          <w:bCs/>
          <w:sz w:val="24"/>
          <w:szCs w:val="21"/>
        </w:rPr>
      </w:pPr>
      <w:r>
        <w:rPr>
          <w:rFonts w:ascii="Times New Roman" w:hAnsi="Times New Roman"/>
          <w:bCs/>
          <w:sz w:val="24"/>
          <w:szCs w:val="21"/>
        </w:rPr>
        <w:t>26.3.8响应文件含有采购人不能接受的附加条件的。</w:t>
      </w:r>
    </w:p>
    <w:p w14:paraId="0888B475">
      <w:pPr>
        <w:spacing w:line="560" w:lineRule="exact"/>
        <w:ind w:firstLine="420"/>
        <w:rPr>
          <w:rFonts w:ascii="Times New Roman" w:hAnsi="Times New Roman"/>
          <w:bCs/>
          <w:sz w:val="24"/>
          <w:szCs w:val="21"/>
        </w:rPr>
      </w:pPr>
      <w:r>
        <w:rPr>
          <w:rFonts w:ascii="Times New Roman" w:hAnsi="Times New Roman"/>
          <w:bCs/>
          <w:sz w:val="24"/>
          <w:szCs w:val="21"/>
        </w:rPr>
        <w:t>26.3.9</w:t>
      </w:r>
      <w:r>
        <w:rPr>
          <w:rFonts w:hint="eastAsia" w:ascii="Times New Roman" w:hAnsi="Times New Roman"/>
          <w:bCs/>
          <w:sz w:val="24"/>
          <w:szCs w:val="21"/>
        </w:rPr>
        <w:t>异常低价响应审查</w:t>
      </w:r>
    </w:p>
    <w:p w14:paraId="236EECB9">
      <w:pPr>
        <w:spacing w:line="560" w:lineRule="exact"/>
        <w:ind w:firstLine="420"/>
        <w:rPr>
          <w:rFonts w:ascii="Times New Roman" w:hAnsi="Times New Roman"/>
          <w:bCs/>
          <w:sz w:val="24"/>
          <w:szCs w:val="21"/>
        </w:rPr>
      </w:pPr>
      <w:r>
        <w:rPr>
          <w:rFonts w:ascii="Times New Roman" w:hAnsi="Times New Roman"/>
          <w:bCs/>
          <w:sz w:val="24"/>
          <w:szCs w:val="21"/>
        </w:rPr>
        <w:t>26.3.9</w:t>
      </w:r>
      <w:r>
        <w:rPr>
          <w:rFonts w:hint="eastAsia" w:ascii="Times New Roman" w:hAnsi="Times New Roman"/>
          <w:bCs/>
          <w:sz w:val="24"/>
          <w:szCs w:val="21"/>
        </w:rPr>
        <w:t>.1评审过程中出现下列情形之一的，磋商小组应当启动异常低价响应审查程序：</w:t>
      </w:r>
    </w:p>
    <w:p w14:paraId="06776238">
      <w:pPr>
        <w:spacing w:line="560" w:lineRule="exact"/>
        <w:ind w:firstLine="420"/>
        <w:rPr>
          <w:rFonts w:ascii="Times New Roman" w:hAnsi="Times New Roman"/>
          <w:bCs/>
          <w:sz w:val="24"/>
          <w:szCs w:val="21"/>
        </w:rPr>
      </w:pPr>
      <w:r>
        <w:rPr>
          <w:rFonts w:hint="eastAsia" w:ascii="Times New Roman" w:hAnsi="Times New Roman"/>
          <w:bCs/>
          <w:sz w:val="24"/>
          <w:szCs w:val="21"/>
        </w:rPr>
        <w:t>（1）投标（响应）报价低于全部通过符合性审查供应商投标（响应）报价平均值的50%的，即投标（响应）报价＜全部通过符合性审查供应商投标（响应）报价平均值×50%；</w:t>
      </w:r>
    </w:p>
    <w:p w14:paraId="4BFE1451">
      <w:pPr>
        <w:spacing w:line="560" w:lineRule="exact"/>
        <w:ind w:firstLine="420"/>
        <w:rPr>
          <w:rFonts w:ascii="Times New Roman" w:hAnsi="Times New Roman"/>
          <w:bCs/>
          <w:sz w:val="24"/>
          <w:szCs w:val="21"/>
        </w:rPr>
      </w:pPr>
      <w:r>
        <w:rPr>
          <w:rFonts w:hint="eastAsia" w:ascii="Times New Roman" w:hAnsi="Times New Roman"/>
          <w:bCs/>
          <w:sz w:val="24"/>
          <w:szCs w:val="21"/>
        </w:rPr>
        <w:t>（2）投标（响应）报价低于通过符合性审查的次低报价供应商投标（响应）报价50%的，即投标（响应）报价＜通过符合性审查的次低报价供应商投标（响应）报价×50%；</w:t>
      </w:r>
    </w:p>
    <w:p w14:paraId="45A00642">
      <w:pPr>
        <w:spacing w:line="560" w:lineRule="exact"/>
        <w:ind w:firstLine="420"/>
        <w:rPr>
          <w:rFonts w:ascii="Times New Roman" w:hAnsi="Times New Roman"/>
          <w:bCs/>
          <w:sz w:val="24"/>
          <w:szCs w:val="21"/>
        </w:rPr>
      </w:pPr>
      <w:r>
        <w:rPr>
          <w:rFonts w:hint="eastAsia" w:ascii="Times New Roman" w:hAnsi="Times New Roman"/>
          <w:bCs/>
          <w:sz w:val="24"/>
          <w:szCs w:val="21"/>
        </w:rPr>
        <w:t>（3）投标（响应）报价低于采购项目最高限价45%的，即投标（响应）报价＜采购项目最高限价×45%；</w:t>
      </w:r>
    </w:p>
    <w:p w14:paraId="3EB00450">
      <w:pPr>
        <w:spacing w:line="560" w:lineRule="exact"/>
        <w:ind w:firstLine="420"/>
        <w:rPr>
          <w:rFonts w:ascii="Times New Roman" w:hAnsi="Times New Roman"/>
          <w:bCs/>
          <w:sz w:val="24"/>
          <w:szCs w:val="21"/>
        </w:rPr>
      </w:pPr>
      <w:r>
        <w:rPr>
          <w:rFonts w:hint="eastAsia" w:ascii="Times New Roman" w:hAnsi="Times New Roman"/>
          <w:bCs/>
          <w:sz w:val="24"/>
          <w:szCs w:val="21"/>
        </w:rPr>
        <w:t>（4）评审委员会基于专业判断，认为供应商报价过低，有可能影响产品质量或者不能诚信履约的其他情形。</w:t>
      </w:r>
    </w:p>
    <w:p w14:paraId="14395B57">
      <w:pPr>
        <w:spacing w:line="560" w:lineRule="exact"/>
        <w:ind w:firstLine="420"/>
        <w:rPr>
          <w:rFonts w:ascii="Times New Roman" w:hAnsi="Times New Roman"/>
          <w:bCs/>
          <w:sz w:val="24"/>
          <w:szCs w:val="21"/>
        </w:rPr>
      </w:pPr>
      <w:r>
        <w:rPr>
          <w:rFonts w:ascii="Times New Roman" w:hAnsi="Times New Roman"/>
          <w:bCs/>
          <w:sz w:val="24"/>
          <w:szCs w:val="21"/>
        </w:rPr>
        <w:t>26.3.9</w:t>
      </w:r>
      <w:r>
        <w:rPr>
          <w:rFonts w:hint="eastAsia" w:ascii="Times New Roman" w:hAnsi="Times New Roman"/>
          <w:bCs/>
          <w:sz w:val="24"/>
          <w:szCs w:val="21"/>
        </w:rPr>
        <w:t>.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8C1598D">
      <w:pPr>
        <w:spacing w:line="560" w:lineRule="exact"/>
        <w:ind w:firstLine="420"/>
        <w:rPr>
          <w:rFonts w:ascii="Times New Roman" w:hAnsi="Times New Roman"/>
          <w:bCs/>
          <w:sz w:val="24"/>
          <w:szCs w:val="21"/>
        </w:rPr>
      </w:pPr>
      <w:r>
        <w:rPr>
          <w:rFonts w:hint="eastAsia" w:ascii="Times New Roman" w:hAnsi="Times New Roman"/>
          <w:bCs/>
          <w:sz w:val="24"/>
          <w:szCs w:val="21"/>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DD1B32E">
      <w:pPr>
        <w:spacing w:line="560" w:lineRule="exact"/>
        <w:ind w:firstLine="420"/>
        <w:rPr>
          <w:rFonts w:ascii="Times New Roman" w:hAnsi="Times New Roman"/>
          <w:bCs/>
          <w:sz w:val="24"/>
          <w:szCs w:val="21"/>
        </w:rPr>
      </w:pPr>
      <w:r>
        <w:rPr>
          <w:rFonts w:hint="eastAsia" w:ascii="Times New Roman" w:hAnsi="Times New Roman"/>
          <w:bCs/>
          <w:sz w:val="24"/>
          <w:szCs w:val="21"/>
        </w:rPr>
        <w:t>采购人、采购代理机构应当为磋商小区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10EC588E">
      <w:pPr>
        <w:spacing w:line="560" w:lineRule="exact"/>
        <w:ind w:firstLine="420"/>
        <w:rPr>
          <w:rFonts w:ascii="Times New Roman" w:hAnsi="Times New Roman"/>
          <w:bCs/>
          <w:sz w:val="24"/>
          <w:szCs w:val="21"/>
        </w:rPr>
      </w:pPr>
      <w:r>
        <w:rPr>
          <w:rFonts w:hint="eastAsia" w:ascii="Times New Roman" w:hAnsi="Times New Roman"/>
          <w:bCs/>
          <w:sz w:val="24"/>
          <w:szCs w:val="21"/>
        </w:rPr>
        <w:t>异常低价投标(响应)审查的启动原因、审查意见和审查结果应当在评审报告中记录，并随供应商提供的相关书面说明及证明材料，以及磋商小组有关互联网浏览、查询历史一并归档。</w:t>
      </w:r>
    </w:p>
    <w:p w14:paraId="559A38BB">
      <w:pPr>
        <w:spacing w:line="560" w:lineRule="exact"/>
        <w:ind w:firstLine="480"/>
        <w:rPr>
          <w:rFonts w:ascii="Times New Roman" w:hAnsi="Times New Roman"/>
          <w:bCs/>
          <w:sz w:val="24"/>
          <w:szCs w:val="21"/>
        </w:rPr>
      </w:pPr>
      <w:r>
        <w:rPr>
          <w:rFonts w:ascii="Times New Roman" w:hAnsi="Times New Roman"/>
          <w:bCs/>
          <w:sz w:val="24"/>
          <w:szCs w:val="21"/>
        </w:rPr>
        <w:t>26.3.</w:t>
      </w:r>
      <w:r>
        <w:rPr>
          <w:rFonts w:hint="eastAsia" w:ascii="Times New Roman" w:hAnsi="Times New Roman"/>
          <w:bCs/>
          <w:sz w:val="24"/>
          <w:szCs w:val="21"/>
        </w:rPr>
        <w:t>10</w:t>
      </w:r>
      <w:r>
        <w:rPr>
          <w:rFonts w:ascii="Times New Roman" w:hAnsi="Times New Roman"/>
          <w:bCs/>
          <w:sz w:val="24"/>
          <w:szCs w:val="21"/>
        </w:rPr>
        <w:t>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0F785CA9">
      <w:pPr>
        <w:spacing w:line="560" w:lineRule="exact"/>
        <w:ind w:firstLine="480"/>
        <w:rPr>
          <w:rFonts w:ascii="Times New Roman" w:hAnsi="Times New Roman"/>
          <w:bCs/>
          <w:sz w:val="24"/>
          <w:szCs w:val="21"/>
        </w:rPr>
      </w:pPr>
      <w:r>
        <w:rPr>
          <w:rFonts w:ascii="Times New Roman" w:hAnsi="Times New Roman"/>
          <w:bCs/>
          <w:sz w:val="24"/>
          <w:szCs w:val="21"/>
        </w:rPr>
        <w:t>26.3.</w:t>
      </w:r>
      <w:r>
        <w:rPr>
          <w:rFonts w:hint="eastAsia" w:ascii="Times New Roman" w:hAnsi="Times New Roman"/>
          <w:bCs/>
          <w:sz w:val="24"/>
          <w:szCs w:val="21"/>
        </w:rPr>
        <w:t>11</w:t>
      </w:r>
      <w:r>
        <w:rPr>
          <w:rFonts w:ascii="Times New Roman" w:hAnsi="Times New Roman"/>
          <w:bCs/>
          <w:sz w:val="24"/>
          <w:szCs w:val="21"/>
        </w:rPr>
        <w:t>响应文件未按照磋商文件要求加盖CA电子公章的。</w:t>
      </w:r>
    </w:p>
    <w:p w14:paraId="1DA80816">
      <w:pPr>
        <w:spacing w:line="560" w:lineRule="exact"/>
        <w:ind w:firstLine="480"/>
        <w:rPr>
          <w:rFonts w:ascii="Times New Roman" w:hAnsi="Times New Roman"/>
          <w:bCs/>
          <w:sz w:val="24"/>
          <w:szCs w:val="21"/>
        </w:rPr>
      </w:pPr>
      <w:r>
        <w:rPr>
          <w:rFonts w:ascii="Times New Roman" w:hAnsi="Times New Roman"/>
          <w:bCs/>
          <w:sz w:val="24"/>
          <w:szCs w:val="21"/>
        </w:rPr>
        <w:t>26.4未实质性响应磋商文件的响应文件按无效响应处理。</w:t>
      </w:r>
    </w:p>
    <w:p w14:paraId="3F818719">
      <w:pPr>
        <w:spacing w:line="560" w:lineRule="exact"/>
        <w:ind w:firstLine="480"/>
        <w:rPr>
          <w:rFonts w:ascii="Times New Roman" w:hAnsi="Times New Roman"/>
          <w:bCs/>
          <w:sz w:val="24"/>
          <w:szCs w:val="21"/>
        </w:rPr>
      </w:pPr>
      <w:r>
        <w:rPr>
          <w:rFonts w:ascii="Times New Roman" w:hAnsi="Times New Roman"/>
          <w:sz w:val="24"/>
          <w:szCs w:val="21"/>
        </w:rPr>
        <w:t>26.5</w:t>
      </w:r>
      <w:r>
        <w:rPr>
          <w:rFonts w:ascii="Times New Roman" w:hAnsi="Times New Roman"/>
          <w:bCs/>
          <w:sz w:val="24"/>
          <w:szCs w:val="21"/>
        </w:rPr>
        <w:t>如果响应文件实质上没有响应磋商文件的要求，磋商小组将予以拒绝，供应商不得通过修改或撤销不合要求的偏离或保留而使其成为实质性响应的文件。</w:t>
      </w:r>
    </w:p>
    <w:p w14:paraId="318A346C">
      <w:pPr>
        <w:spacing w:line="560" w:lineRule="exact"/>
        <w:ind w:firstLine="480"/>
        <w:rPr>
          <w:rFonts w:ascii="Times New Roman" w:hAnsi="Times New Roman"/>
          <w:sz w:val="24"/>
          <w:szCs w:val="21"/>
        </w:rPr>
      </w:pPr>
      <w:bookmarkStart w:id="172" w:name="_Toc513029234"/>
      <w:bookmarkStart w:id="173" w:name="_Toc20823306"/>
      <w:bookmarkStart w:id="174" w:name="_Toc16938550"/>
      <w:r>
        <w:rPr>
          <w:rFonts w:ascii="Times New Roman" w:hAnsi="Times New Roman"/>
          <w:sz w:val="24"/>
          <w:szCs w:val="21"/>
        </w:rPr>
        <w:t>26.6供应商在项目评审全过程中应保持通讯畅通，并安排专人与采购代理机构及磋商小组联系。</w:t>
      </w:r>
    </w:p>
    <w:p w14:paraId="428DD0B5">
      <w:pPr>
        <w:keepNext/>
        <w:keepLines/>
        <w:spacing w:line="560" w:lineRule="exact"/>
        <w:ind w:firstLine="422"/>
        <w:outlineLvl w:val="3"/>
        <w:rPr>
          <w:rFonts w:ascii="Times New Roman" w:hAnsi="Times New Roman"/>
          <w:b/>
          <w:sz w:val="28"/>
          <w:szCs w:val="28"/>
        </w:rPr>
      </w:pPr>
      <w:r>
        <w:rPr>
          <w:rFonts w:ascii="Times New Roman" w:hAnsi="Times New Roman"/>
          <w:b/>
          <w:sz w:val="28"/>
          <w:szCs w:val="28"/>
        </w:rPr>
        <w:t>27、</w:t>
      </w:r>
      <w:bookmarkEnd w:id="172"/>
      <w:bookmarkEnd w:id="173"/>
      <w:bookmarkEnd w:id="174"/>
      <w:r>
        <w:rPr>
          <w:rFonts w:ascii="Times New Roman" w:hAnsi="Times New Roman"/>
          <w:b/>
          <w:sz w:val="28"/>
          <w:szCs w:val="28"/>
        </w:rPr>
        <w:t>磋商程序及评审方法和评审标准</w:t>
      </w:r>
    </w:p>
    <w:p w14:paraId="14453E3A">
      <w:pPr>
        <w:tabs>
          <w:tab w:val="left" w:pos="900"/>
        </w:tabs>
        <w:spacing w:line="560" w:lineRule="exact"/>
        <w:ind w:firstLine="478"/>
        <w:rPr>
          <w:rFonts w:ascii="Times New Roman" w:hAnsi="Times New Roman"/>
          <w:sz w:val="24"/>
          <w:szCs w:val="24"/>
        </w:rPr>
      </w:pPr>
      <w:r>
        <w:rPr>
          <w:rFonts w:ascii="Times New Roman" w:hAnsi="Times New Roman"/>
          <w:sz w:val="24"/>
          <w:szCs w:val="24"/>
        </w:rPr>
        <w:t>27.1磋商程序</w:t>
      </w:r>
    </w:p>
    <w:p w14:paraId="2F4F9497">
      <w:pPr>
        <w:tabs>
          <w:tab w:val="left" w:pos="900"/>
        </w:tabs>
        <w:spacing w:line="560" w:lineRule="exact"/>
        <w:ind w:firstLine="478"/>
        <w:rPr>
          <w:rFonts w:ascii="Times New Roman" w:hAnsi="Times New Roman"/>
          <w:sz w:val="24"/>
          <w:szCs w:val="24"/>
        </w:rPr>
      </w:pPr>
      <w:r>
        <w:rPr>
          <w:rFonts w:ascii="Times New Roman" w:hAnsi="Times New Roman"/>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5A13C91">
      <w:pPr>
        <w:tabs>
          <w:tab w:val="left" w:pos="900"/>
        </w:tabs>
        <w:spacing w:line="560" w:lineRule="exact"/>
        <w:ind w:firstLine="478"/>
        <w:rPr>
          <w:rFonts w:ascii="Times New Roman" w:hAnsi="Times New Roman"/>
          <w:sz w:val="24"/>
          <w:szCs w:val="24"/>
        </w:rPr>
      </w:pPr>
      <w:r>
        <w:rPr>
          <w:rFonts w:ascii="Times New Roman" w:hAnsi="Times New Roman"/>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E75B798">
      <w:pPr>
        <w:tabs>
          <w:tab w:val="left" w:pos="900"/>
        </w:tabs>
        <w:spacing w:line="560" w:lineRule="exact"/>
        <w:ind w:firstLine="478"/>
        <w:rPr>
          <w:rFonts w:ascii="Times New Roman" w:hAnsi="Times New Roman"/>
          <w:sz w:val="24"/>
          <w:szCs w:val="24"/>
        </w:rPr>
      </w:pPr>
      <w:r>
        <w:rPr>
          <w:rFonts w:ascii="Times New Roman" w:hAnsi="Times New Roman"/>
          <w:sz w:val="24"/>
          <w:szCs w:val="24"/>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31A4C94D">
      <w:pPr>
        <w:tabs>
          <w:tab w:val="left" w:pos="900"/>
        </w:tabs>
        <w:spacing w:line="560" w:lineRule="exact"/>
        <w:ind w:firstLine="478"/>
        <w:rPr>
          <w:rFonts w:ascii="Times New Roman" w:hAnsi="Times New Roman"/>
          <w:sz w:val="24"/>
          <w:szCs w:val="24"/>
        </w:rPr>
      </w:pPr>
      <w:r>
        <w:rPr>
          <w:rFonts w:ascii="Times New Roman" w:hAnsi="Times New Roman"/>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EEAA231">
      <w:pPr>
        <w:tabs>
          <w:tab w:val="left" w:pos="900"/>
        </w:tabs>
        <w:spacing w:line="560" w:lineRule="exact"/>
        <w:ind w:firstLine="480"/>
        <w:rPr>
          <w:rFonts w:ascii="Times New Roman" w:hAnsi="Times New Roman"/>
          <w:sz w:val="24"/>
          <w:szCs w:val="24"/>
        </w:rPr>
      </w:pPr>
      <w:r>
        <w:rPr>
          <w:rFonts w:ascii="Times New Roman" w:hAnsi="Times New Roman"/>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7476CC6">
      <w:pPr>
        <w:tabs>
          <w:tab w:val="left" w:pos="900"/>
        </w:tabs>
        <w:spacing w:line="560" w:lineRule="exact"/>
        <w:ind w:firstLine="478"/>
        <w:rPr>
          <w:rFonts w:ascii="Times New Roman" w:hAnsi="Times New Roman"/>
          <w:sz w:val="24"/>
          <w:szCs w:val="24"/>
        </w:rPr>
      </w:pPr>
      <w:r>
        <w:rPr>
          <w:rFonts w:ascii="Times New Roman" w:hAnsi="Times New Roman"/>
          <w:sz w:val="24"/>
          <w:szCs w:val="24"/>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7722ABD">
      <w:pPr>
        <w:tabs>
          <w:tab w:val="left" w:pos="900"/>
        </w:tabs>
        <w:spacing w:line="560" w:lineRule="exact"/>
        <w:ind w:firstLine="478"/>
        <w:rPr>
          <w:rFonts w:ascii="Times New Roman" w:hAnsi="Times New Roman"/>
          <w:sz w:val="24"/>
          <w:szCs w:val="24"/>
        </w:rPr>
      </w:pPr>
      <w:r>
        <w:rPr>
          <w:rFonts w:ascii="Times New Roman" w:hAnsi="Times New Roman"/>
          <w:sz w:val="24"/>
          <w:szCs w:val="24"/>
        </w:rPr>
        <w:t>27.2 评审方法和评审标准</w:t>
      </w:r>
    </w:p>
    <w:p w14:paraId="05A6A866">
      <w:pPr>
        <w:tabs>
          <w:tab w:val="left" w:pos="900"/>
        </w:tabs>
        <w:spacing w:line="560" w:lineRule="exact"/>
        <w:ind w:firstLine="478"/>
        <w:rPr>
          <w:rFonts w:ascii="Times New Roman" w:hAnsi="Times New Roman"/>
          <w:sz w:val="24"/>
          <w:szCs w:val="24"/>
        </w:rPr>
      </w:pPr>
      <w:r>
        <w:rPr>
          <w:rFonts w:hint="eastAsia" w:ascii="Times New Roman" w:hAnsi="Times New Roman"/>
          <w:sz w:val="24"/>
          <w:szCs w:val="24"/>
        </w:rPr>
        <w:t>27.2.1</w:t>
      </w:r>
      <w:r>
        <w:rPr>
          <w:rFonts w:ascii="Times New Roman" w:hAnsi="Times New Roman"/>
          <w:sz w:val="24"/>
          <w:szCs w:val="24"/>
        </w:rPr>
        <w:t>评审方法。经磋商确定最终采购需求和提交最后报价的供应商后，由磋商小组采用综合评分法对提交最后报价的供应商的响应文件和最后报价进行综合评分。</w:t>
      </w:r>
    </w:p>
    <w:p w14:paraId="0952098F">
      <w:pPr>
        <w:tabs>
          <w:tab w:val="left" w:pos="900"/>
        </w:tabs>
        <w:spacing w:line="560" w:lineRule="exact"/>
        <w:ind w:firstLine="478"/>
        <w:rPr>
          <w:rFonts w:ascii="Times New Roman" w:hAnsi="Times New Roman"/>
          <w:sz w:val="24"/>
          <w:szCs w:val="24"/>
        </w:rPr>
      </w:pPr>
      <w:r>
        <w:rPr>
          <w:rFonts w:ascii="Times New Roman" w:hAnsi="Times New Roman"/>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123BB0F">
      <w:pPr>
        <w:tabs>
          <w:tab w:val="left" w:pos="900"/>
        </w:tabs>
        <w:spacing w:line="560" w:lineRule="exact"/>
        <w:ind w:firstLine="478"/>
        <w:rPr>
          <w:rFonts w:ascii="Times New Roman" w:hAnsi="Times New Roman"/>
          <w:sz w:val="24"/>
          <w:szCs w:val="24"/>
        </w:rPr>
      </w:pPr>
      <w:r>
        <w:rPr>
          <w:rFonts w:hint="eastAsia" w:ascii="Times New Roman" w:hAnsi="Times New Roman"/>
          <w:sz w:val="24"/>
          <w:szCs w:val="24"/>
        </w:rPr>
        <w:t>27.2.2异常低价响应审查</w:t>
      </w:r>
    </w:p>
    <w:p w14:paraId="02BB72BE">
      <w:pPr>
        <w:tabs>
          <w:tab w:val="left" w:pos="900"/>
        </w:tabs>
        <w:spacing w:line="560" w:lineRule="exact"/>
        <w:ind w:firstLine="478"/>
        <w:rPr>
          <w:rFonts w:ascii="Times New Roman" w:hAnsi="Times New Roman"/>
          <w:sz w:val="24"/>
          <w:szCs w:val="24"/>
        </w:rPr>
      </w:pPr>
      <w:r>
        <w:rPr>
          <w:rFonts w:hint="eastAsia" w:ascii="Times New Roman" w:hAnsi="Times New Roman"/>
          <w:sz w:val="24"/>
          <w:szCs w:val="24"/>
        </w:rPr>
        <w:t>27.2.2.1评审过程中出现下列情形之一的，磋商小组应当启动异常低价响应审查程序：</w:t>
      </w:r>
    </w:p>
    <w:p w14:paraId="6FC18D0B">
      <w:pPr>
        <w:spacing w:line="560" w:lineRule="exact"/>
        <w:ind w:firstLine="420"/>
        <w:rPr>
          <w:rFonts w:ascii="Times New Roman" w:hAnsi="Times New Roman"/>
          <w:bCs/>
          <w:sz w:val="24"/>
          <w:szCs w:val="21"/>
        </w:rPr>
      </w:pPr>
      <w:r>
        <w:rPr>
          <w:rFonts w:hint="eastAsia" w:ascii="Times New Roman" w:hAnsi="Times New Roman"/>
          <w:bCs/>
          <w:sz w:val="24"/>
          <w:szCs w:val="21"/>
        </w:rPr>
        <w:t>评审过程中出现下列情形之一的，磋商小组应当启动异常低价响应审查程序：</w:t>
      </w:r>
    </w:p>
    <w:p w14:paraId="33C50FB2">
      <w:pPr>
        <w:spacing w:line="560" w:lineRule="exact"/>
        <w:ind w:firstLine="420"/>
        <w:rPr>
          <w:rFonts w:ascii="Times New Roman" w:hAnsi="Times New Roman"/>
          <w:bCs/>
          <w:sz w:val="24"/>
          <w:szCs w:val="21"/>
        </w:rPr>
      </w:pPr>
      <w:r>
        <w:rPr>
          <w:rFonts w:hint="eastAsia" w:ascii="Times New Roman" w:hAnsi="Times New Roman"/>
          <w:bCs/>
          <w:sz w:val="24"/>
          <w:szCs w:val="21"/>
        </w:rPr>
        <w:t>（1）投标（响应）报价低于全部通过符合性审查供应商投标（响应）报价平均值的50%的，即投标（响应）报价＜全部通过符合性审查供应商投标（响应）报价平均值×50%；</w:t>
      </w:r>
    </w:p>
    <w:p w14:paraId="341E4CE7">
      <w:pPr>
        <w:spacing w:line="560" w:lineRule="exact"/>
        <w:ind w:firstLine="420"/>
        <w:rPr>
          <w:rFonts w:ascii="Times New Roman" w:hAnsi="Times New Roman"/>
          <w:bCs/>
          <w:sz w:val="24"/>
          <w:szCs w:val="21"/>
        </w:rPr>
      </w:pPr>
      <w:r>
        <w:rPr>
          <w:rFonts w:hint="eastAsia" w:ascii="Times New Roman" w:hAnsi="Times New Roman"/>
          <w:bCs/>
          <w:sz w:val="24"/>
          <w:szCs w:val="21"/>
        </w:rPr>
        <w:t>（2）投标（响应）报价低于通过符合性审查的次低报价供应商投标（响应）报价50%的，即投标（响应）报价＜通过符合性审查的次低报价供应商投标（响应）报价×50%；</w:t>
      </w:r>
    </w:p>
    <w:p w14:paraId="15F47766">
      <w:pPr>
        <w:spacing w:line="560" w:lineRule="exact"/>
        <w:ind w:firstLine="420"/>
        <w:rPr>
          <w:rFonts w:ascii="Times New Roman" w:hAnsi="Times New Roman"/>
          <w:bCs/>
          <w:sz w:val="24"/>
          <w:szCs w:val="21"/>
        </w:rPr>
      </w:pPr>
      <w:r>
        <w:rPr>
          <w:rFonts w:hint="eastAsia" w:ascii="Times New Roman" w:hAnsi="Times New Roman"/>
          <w:bCs/>
          <w:sz w:val="24"/>
          <w:szCs w:val="21"/>
        </w:rPr>
        <w:t>（3）投标（响应）报价低于采购项目最高限价45%的，即投标（响应）报价＜采购项目最高限价×45%；</w:t>
      </w:r>
    </w:p>
    <w:p w14:paraId="63A4A77D">
      <w:pPr>
        <w:spacing w:line="560" w:lineRule="exact"/>
        <w:ind w:firstLine="420"/>
        <w:rPr>
          <w:rFonts w:ascii="Times New Roman" w:hAnsi="Times New Roman"/>
          <w:bCs/>
          <w:sz w:val="24"/>
          <w:szCs w:val="21"/>
        </w:rPr>
      </w:pPr>
      <w:r>
        <w:rPr>
          <w:rFonts w:hint="eastAsia" w:ascii="Times New Roman" w:hAnsi="Times New Roman"/>
          <w:bCs/>
          <w:sz w:val="24"/>
          <w:szCs w:val="21"/>
        </w:rPr>
        <w:t>（4）评审委员会基于专业判断，认为供应商报价过低，有可能影响产品质量或者不能诚信履约的其他情形。</w:t>
      </w:r>
    </w:p>
    <w:p w14:paraId="4E7C102E">
      <w:pPr>
        <w:spacing w:line="560" w:lineRule="exact"/>
        <w:ind w:firstLine="420"/>
        <w:rPr>
          <w:rFonts w:ascii="Times New Roman" w:hAnsi="Times New Roman"/>
          <w:bCs/>
          <w:sz w:val="24"/>
          <w:szCs w:val="21"/>
        </w:rPr>
      </w:pPr>
      <w:r>
        <w:rPr>
          <w:rFonts w:hint="eastAsia" w:ascii="Times New Roman" w:hAnsi="Times New Roman"/>
          <w:sz w:val="24"/>
          <w:szCs w:val="24"/>
        </w:rPr>
        <w:t>27.2.2.</w:t>
      </w:r>
      <w:r>
        <w:rPr>
          <w:rFonts w:hint="eastAsia" w:ascii="Times New Roman" w:hAnsi="Times New Roman"/>
          <w:bCs/>
          <w:sz w:val="24"/>
          <w:szCs w:val="21"/>
        </w:rPr>
        <w:t>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392A610">
      <w:pPr>
        <w:spacing w:line="560" w:lineRule="exact"/>
        <w:ind w:firstLine="420"/>
        <w:rPr>
          <w:rFonts w:ascii="Times New Roman" w:hAnsi="Times New Roman"/>
          <w:bCs/>
          <w:sz w:val="24"/>
          <w:szCs w:val="21"/>
        </w:rPr>
      </w:pPr>
      <w:r>
        <w:rPr>
          <w:rFonts w:hint="eastAsia" w:ascii="Times New Roman" w:hAnsi="Times New Roman"/>
          <w:bCs/>
          <w:sz w:val="24"/>
          <w:szCs w:val="21"/>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355728">
      <w:pPr>
        <w:spacing w:line="560" w:lineRule="exact"/>
        <w:ind w:firstLine="420"/>
        <w:rPr>
          <w:rFonts w:ascii="Times New Roman" w:hAnsi="Times New Roman"/>
          <w:bCs/>
          <w:sz w:val="24"/>
          <w:szCs w:val="21"/>
        </w:rPr>
      </w:pPr>
      <w:r>
        <w:rPr>
          <w:rFonts w:hint="eastAsia" w:ascii="Times New Roman" w:hAnsi="Times New Roman"/>
          <w:bCs/>
          <w:sz w:val="24"/>
          <w:szCs w:val="21"/>
        </w:rPr>
        <w:t>采购人、采购代理机构应当为磋商小区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6449998">
      <w:pPr>
        <w:spacing w:line="560" w:lineRule="exact"/>
        <w:ind w:firstLine="420"/>
        <w:rPr>
          <w:rFonts w:ascii="Times New Roman" w:hAnsi="Times New Roman"/>
          <w:bCs/>
          <w:sz w:val="24"/>
          <w:szCs w:val="21"/>
        </w:rPr>
      </w:pPr>
      <w:r>
        <w:rPr>
          <w:rFonts w:hint="eastAsia" w:ascii="Times New Roman" w:hAnsi="Times New Roman"/>
          <w:bCs/>
          <w:sz w:val="24"/>
          <w:szCs w:val="21"/>
        </w:rPr>
        <w:t>异常低价投标(响应)审查的启动原因、审查意见和审查结果应当在评审报告中记录，并随供应商提供的相关书面说明及证明材料，以及磋商小组有关互联网浏览、查询历史一并归档。</w:t>
      </w:r>
    </w:p>
    <w:p w14:paraId="7B4F273C">
      <w:pPr>
        <w:tabs>
          <w:tab w:val="left" w:pos="900"/>
        </w:tabs>
        <w:spacing w:line="560" w:lineRule="exact"/>
        <w:ind w:firstLine="478"/>
        <w:rPr>
          <w:rFonts w:ascii="Times New Roman" w:hAnsi="Times New Roman"/>
          <w:sz w:val="24"/>
          <w:szCs w:val="24"/>
        </w:rPr>
      </w:pPr>
      <w:r>
        <w:rPr>
          <w:rFonts w:hint="eastAsia" w:ascii="Times New Roman" w:hAnsi="Times New Roman"/>
          <w:sz w:val="24"/>
          <w:szCs w:val="24"/>
        </w:rPr>
        <w:t>27.2.3评审标准</w:t>
      </w:r>
    </w:p>
    <w:p w14:paraId="79B02BD2">
      <w:pPr>
        <w:tabs>
          <w:tab w:val="left" w:pos="900"/>
        </w:tabs>
        <w:spacing w:line="560" w:lineRule="exact"/>
        <w:ind w:firstLine="478"/>
        <w:rPr>
          <w:rFonts w:ascii="Times New Roman" w:hAnsi="Times New Roman"/>
          <w:sz w:val="24"/>
          <w:szCs w:val="24"/>
        </w:rPr>
      </w:pPr>
      <w:r>
        <w:rPr>
          <w:rFonts w:ascii="Times New Roman" w:hAnsi="Times New Roman"/>
          <w:sz w:val="24"/>
          <w:szCs w:val="24"/>
        </w:rPr>
        <w:t>见本磋商文件第五章规定。</w:t>
      </w:r>
    </w:p>
    <w:p w14:paraId="5A924F56">
      <w:pPr>
        <w:tabs>
          <w:tab w:val="left" w:pos="900"/>
        </w:tabs>
        <w:spacing w:line="560" w:lineRule="exact"/>
        <w:ind w:firstLine="478"/>
        <w:rPr>
          <w:rFonts w:ascii="Times New Roman" w:hAnsi="Times New Roman"/>
          <w:sz w:val="24"/>
          <w:szCs w:val="24"/>
        </w:rPr>
      </w:pPr>
      <w:r>
        <w:rPr>
          <w:rFonts w:ascii="Times New Roman" w:hAnsi="Times New Roman"/>
          <w:sz w:val="24"/>
          <w:szCs w:val="24"/>
        </w:rPr>
        <w:t>27.3采购活动终止的情况</w:t>
      </w:r>
    </w:p>
    <w:p w14:paraId="243E55A2">
      <w:pPr>
        <w:tabs>
          <w:tab w:val="left" w:pos="900"/>
        </w:tabs>
        <w:spacing w:line="560" w:lineRule="exact"/>
        <w:ind w:firstLine="360"/>
        <w:rPr>
          <w:rFonts w:ascii="Times New Roman" w:hAnsi="Times New Roman"/>
          <w:sz w:val="24"/>
          <w:szCs w:val="24"/>
        </w:rPr>
      </w:pPr>
      <w:r>
        <w:rPr>
          <w:rFonts w:ascii="Times New Roman" w:hAnsi="Times New Roman"/>
          <w:sz w:val="24"/>
          <w:szCs w:val="24"/>
        </w:rPr>
        <w:t>出现下列情形之一的，本次竞争性磋商采购活动将被终止：</w:t>
      </w:r>
    </w:p>
    <w:p w14:paraId="7CAEEA74">
      <w:pPr>
        <w:tabs>
          <w:tab w:val="left" w:pos="900"/>
        </w:tabs>
        <w:spacing w:line="560" w:lineRule="exact"/>
        <w:ind w:firstLine="360"/>
        <w:rPr>
          <w:rFonts w:ascii="Times New Roman" w:hAnsi="Times New Roman"/>
          <w:sz w:val="24"/>
          <w:szCs w:val="24"/>
        </w:rPr>
      </w:pPr>
      <w:r>
        <w:rPr>
          <w:rFonts w:ascii="Times New Roman" w:hAnsi="Times New Roman"/>
          <w:sz w:val="24"/>
          <w:szCs w:val="24"/>
        </w:rPr>
        <w:t>27.3.1因情况变化，不再符合规定的竞争性磋商采购方式适用情形的。</w:t>
      </w:r>
    </w:p>
    <w:p w14:paraId="6AF891DD">
      <w:pPr>
        <w:tabs>
          <w:tab w:val="left" w:pos="900"/>
        </w:tabs>
        <w:spacing w:line="560" w:lineRule="exact"/>
        <w:ind w:firstLine="360"/>
        <w:rPr>
          <w:rFonts w:ascii="Times New Roman" w:hAnsi="Times New Roman"/>
          <w:sz w:val="24"/>
          <w:szCs w:val="24"/>
        </w:rPr>
      </w:pPr>
      <w:r>
        <w:rPr>
          <w:rFonts w:ascii="Times New Roman" w:hAnsi="Times New Roman"/>
          <w:sz w:val="24"/>
          <w:szCs w:val="24"/>
        </w:rPr>
        <w:t>27.3.2出现影响采购公正的违法、违规行为的。</w:t>
      </w:r>
    </w:p>
    <w:p w14:paraId="019C83A7">
      <w:pPr>
        <w:tabs>
          <w:tab w:val="left" w:pos="900"/>
        </w:tabs>
        <w:spacing w:line="560" w:lineRule="exact"/>
        <w:ind w:firstLine="360"/>
        <w:rPr>
          <w:rFonts w:ascii="Times New Roman" w:hAnsi="Times New Roman"/>
          <w:sz w:val="24"/>
          <w:szCs w:val="24"/>
        </w:rPr>
      </w:pPr>
      <w:r>
        <w:rPr>
          <w:rFonts w:ascii="Times New Roman" w:hAnsi="Times New Roman"/>
          <w:sz w:val="24"/>
          <w:szCs w:val="24"/>
        </w:rPr>
        <w:t>27.3.3除本磋商文件第二章第27.1.2条第三款规定的情形外，在采购过程中符合要求的供应商或者最后报价未超过采购预算的供应商不足3家的。</w:t>
      </w:r>
    </w:p>
    <w:p w14:paraId="32682B7B">
      <w:pPr>
        <w:tabs>
          <w:tab w:val="left" w:pos="900"/>
        </w:tabs>
        <w:spacing w:line="560" w:lineRule="exact"/>
        <w:ind w:firstLine="360"/>
        <w:rPr>
          <w:rFonts w:ascii="Times New Roman" w:hAnsi="Times New Roman"/>
          <w:sz w:val="24"/>
          <w:szCs w:val="24"/>
        </w:rPr>
      </w:pPr>
      <w:r>
        <w:rPr>
          <w:rFonts w:ascii="Times New Roman" w:hAnsi="Times New Roman"/>
          <w:sz w:val="24"/>
          <w:szCs w:val="24"/>
        </w:rPr>
        <w:t>27.3.4在苏采云系统规定时间内成功解密电子响应文件的供应商不足3家的。</w:t>
      </w:r>
    </w:p>
    <w:p w14:paraId="42D0556D">
      <w:pPr>
        <w:keepNext/>
        <w:keepLines/>
        <w:spacing w:line="560" w:lineRule="exact"/>
        <w:ind w:firstLine="482"/>
        <w:outlineLvl w:val="2"/>
        <w:rPr>
          <w:rFonts w:ascii="Times New Roman" w:hAnsi="Times New Roman"/>
          <w:b/>
          <w:bCs/>
          <w:sz w:val="32"/>
          <w:szCs w:val="32"/>
        </w:rPr>
      </w:pPr>
      <w:bookmarkStart w:id="175" w:name="_Toc16938551"/>
      <w:bookmarkStart w:id="176" w:name="_Toc120614219"/>
      <w:bookmarkStart w:id="177" w:name="_Toc20823307"/>
      <w:bookmarkStart w:id="178" w:name="_Toc513029235"/>
      <w:bookmarkStart w:id="179" w:name="_Toc16873"/>
      <w:r>
        <w:rPr>
          <w:rFonts w:ascii="Times New Roman" w:hAnsi="Times New Roman"/>
          <w:b/>
          <w:bCs/>
          <w:sz w:val="32"/>
          <w:szCs w:val="32"/>
        </w:rPr>
        <w:t>六、</w:t>
      </w:r>
      <w:bookmarkEnd w:id="175"/>
      <w:bookmarkEnd w:id="176"/>
      <w:bookmarkEnd w:id="177"/>
      <w:bookmarkEnd w:id="178"/>
      <w:r>
        <w:rPr>
          <w:rFonts w:ascii="Times New Roman" w:hAnsi="Times New Roman"/>
          <w:b/>
          <w:bCs/>
          <w:sz w:val="32"/>
          <w:szCs w:val="32"/>
        </w:rPr>
        <w:t>成交</w:t>
      </w:r>
      <w:bookmarkEnd w:id="179"/>
    </w:p>
    <w:p w14:paraId="013F95CE">
      <w:pPr>
        <w:keepNext/>
        <w:keepLines/>
        <w:spacing w:line="560" w:lineRule="exact"/>
        <w:ind w:firstLine="422"/>
        <w:outlineLvl w:val="3"/>
        <w:rPr>
          <w:rFonts w:ascii="Times New Roman" w:hAnsi="Times New Roman"/>
          <w:b/>
          <w:sz w:val="28"/>
          <w:szCs w:val="28"/>
        </w:rPr>
      </w:pPr>
      <w:bookmarkStart w:id="180" w:name="_Toc513029238"/>
      <w:bookmarkStart w:id="181" w:name="_Toc20823310"/>
      <w:bookmarkStart w:id="182" w:name="_Toc16938554"/>
      <w:r>
        <w:rPr>
          <w:rFonts w:ascii="Times New Roman" w:hAnsi="Times New Roman"/>
          <w:b/>
          <w:sz w:val="28"/>
          <w:szCs w:val="28"/>
        </w:rPr>
        <w:t>28、</w:t>
      </w:r>
      <w:bookmarkEnd w:id="180"/>
      <w:r>
        <w:rPr>
          <w:rFonts w:ascii="Times New Roman" w:hAnsi="Times New Roman"/>
          <w:b/>
          <w:sz w:val="28"/>
          <w:szCs w:val="28"/>
        </w:rPr>
        <w:t>确定</w:t>
      </w:r>
      <w:bookmarkEnd w:id="181"/>
      <w:bookmarkEnd w:id="182"/>
      <w:r>
        <w:rPr>
          <w:rFonts w:ascii="Times New Roman" w:hAnsi="Times New Roman"/>
          <w:b/>
          <w:sz w:val="28"/>
          <w:szCs w:val="28"/>
        </w:rPr>
        <w:t>成交单位</w:t>
      </w:r>
    </w:p>
    <w:p w14:paraId="5C0776D9">
      <w:pPr>
        <w:tabs>
          <w:tab w:val="left" w:pos="900"/>
        </w:tabs>
        <w:spacing w:line="560" w:lineRule="exact"/>
        <w:ind w:firstLine="478"/>
        <w:rPr>
          <w:rFonts w:ascii="Times New Roman" w:hAnsi="Times New Roman"/>
          <w:sz w:val="24"/>
          <w:szCs w:val="21"/>
        </w:rPr>
      </w:pPr>
      <w:r>
        <w:rPr>
          <w:rFonts w:ascii="Times New Roman" w:hAnsi="Times New Roman"/>
          <w:bCs/>
          <w:sz w:val="24"/>
          <w:szCs w:val="21"/>
        </w:rPr>
        <w:t>28.1</w:t>
      </w:r>
      <w:r>
        <w:rPr>
          <w:rFonts w:ascii="Times New Roman" w:hAnsi="Times New Roman"/>
          <w:sz w:val="24"/>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225D6A84">
      <w:pPr>
        <w:tabs>
          <w:tab w:val="left" w:pos="900"/>
        </w:tabs>
        <w:spacing w:line="560" w:lineRule="exact"/>
        <w:ind w:firstLine="478"/>
        <w:rPr>
          <w:rFonts w:ascii="Times New Roman" w:hAnsi="Times New Roman"/>
          <w:bCs/>
          <w:sz w:val="24"/>
          <w:szCs w:val="21"/>
        </w:rPr>
      </w:pPr>
      <w:r>
        <w:rPr>
          <w:rFonts w:ascii="Times New Roman" w:hAnsi="Times New Roman"/>
          <w:bCs/>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133DBB0">
      <w:pPr>
        <w:tabs>
          <w:tab w:val="left" w:pos="900"/>
        </w:tabs>
        <w:spacing w:line="560" w:lineRule="exact"/>
        <w:ind w:firstLine="478"/>
        <w:rPr>
          <w:rFonts w:ascii="Times New Roman" w:hAnsi="Times New Roman"/>
          <w:bCs/>
          <w:sz w:val="24"/>
          <w:szCs w:val="21"/>
        </w:rPr>
      </w:pPr>
      <w:r>
        <w:rPr>
          <w:rFonts w:ascii="Times New Roman" w:hAnsi="Times New Roman"/>
          <w:bCs/>
          <w:sz w:val="24"/>
          <w:szCs w:val="21"/>
        </w:rPr>
        <w:t>28.2采购人从评审报告提出的成交候选供应商中，按照排序由高到低的原则确定成交供应商。</w:t>
      </w:r>
    </w:p>
    <w:p w14:paraId="13BB0E08">
      <w:pPr>
        <w:spacing w:line="560" w:lineRule="exact"/>
        <w:ind w:firstLine="480"/>
        <w:rPr>
          <w:rFonts w:ascii="Times New Roman" w:hAnsi="Times New Roman"/>
          <w:bCs/>
          <w:sz w:val="24"/>
          <w:lang w:val="zh-CN"/>
        </w:rPr>
      </w:pPr>
      <w:r>
        <w:rPr>
          <w:rFonts w:ascii="Times New Roman" w:hAnsi="Times New Roman"/>
          <w:bCs/>
          <w:sz w:val="24"/>
          <w:lang w:val="zh-CN"/>
        </w:rPr>
        <w:t>按以下第</w:t>
      </w:r>
      <w:r>
        <w:rPr>
          <w:rFonts w:ascii="Times New Roman" w:hAnsi="Times New Roman"/>
          <w:bCs/>
          <w:sz w:val="24"/>
          <w:u w:val="single"/>
          <w:lang w:val="zh-CN"/>
        </w:rPr>
        <w:t>（</w:t>
      </w:r>
      <w:r>
        <w:rPr>
          <w:rFonts w:hint="eastAsia" w:ascii="Times New Roman" w:hAnsi="Times New Roman"/>
          <w:bCs/>
          <w:sz w:val="24"/>
          <w:u w:val="single"/>
        </w:rPr>
        <w:t>2</w:t>
      </w:r>
      <w:r>
        <w:rPr>
          <w:rFonts w:ascii="Times New Roman" w:hAnsi="Times New Roman"/>
          <w:bCs/>
          <w:sz w:val="24"/>
          <w:u w:val="single"/>
          <w:lang w:val="zh-CN"/>
        </w:rPr>
        <w:t>）</w:t>
      </w:r>
      <w:r>
        <w:rPr>
          <w:rFonts w:ascii="Times New Roman" w:hAnsi="Times New Roman"/>
          <w:bCs/>
          <w:sz w:val="24"/>
          <w:lang w:val="zh-CN"/>
        </w:rPr>
        <w:t>种方式确定成交供应商</w:t>
      </w:r>
    </w:p>
    <w:p w14:paraId="5E1CBE71">
      <w:pPr>
        <w:spacing w:line="560" w:lineRule="exact"/>
        <w:ind w:firstLine="480"/>
        <w:rPr>
          <w:rFonts w:ascii="Times New Roman" w:hAnsi="Times New Roman"/>
          <w:bCs/>
          <w:sz w:val="24"/>
          <w:lang w:val="zh-CN"/>
        </w:rPr>
      </w:pPr>
      <w:r>
        <w:rPr>
          <w:rFonts w:ascii="Times New Roman" w:hAnsi="Times New Roman"/>
          <w:bCs/>
          <w:sz w:val="24"/>
          <w:lang w:val="zh-CN"/>
        </w:rPr>
        <w:t>（1）磋商小组直接确定排名第一的</w:t>
      </w:r>
      <w:r>
        <w:rPr>
          <w:rFonts w:ascii="Times New Roman" w:hAnsi="Times New Roman"/>
          <w:bCs/>
          <w:sz w:val="24"/>
          <w:szCs w:val="21"/>
        </w:rPr>
        <w:t>成交候选供应商</w:t>
      </w:r>
      <w:r>
        <w:rPr>
          <w:rFonts w:ascii="Times New Roman" w:hAnsi="Times New Roman"/>
          <w:bCs/>
          <w:sz w:val="24"/>
          <w:lang w:val="zh-CN"/>
        </w:rPr>
        <w:t>为成交供应商；</w:t>
      </w:r>
    </w:p>
    <w:p w14:paraId="3D422CD7">
      <w:pPr>
        <w:spacing w:line="560" w:lineRule="exact"/>
        <w:ind w:firstLine="480"/>
        <w:rPr>
          <w:rFonts w:ascii="Times New Roman" w:hAnsi="Times New Roman"/>
          <w:bCs/>
          <w:sz w:val="24"/>
          <w:lang w:val="zh-CN"/>
        </w:rPr>
      </w:pPr>
      <w:r>
        <w:rPr>
          <w:rFonts w:ascii="Times New Roman" w:hAnsi="Times New Roman"/>
          <w:bCs/>
          <w:sz w:val="24"/>
          <w:lang w:val="zh-CN"/>
        </w:rPr>
        <w:t>（2）采购人</w:t>
      </w:r>
      <w:r>
        <w:rPr>
          <w:rFonts w:ascii="Times New Roman" w:hAnsi="Times New Roman"/>
          <w:bCs/>
          <w:sz w:val="24"/>
          <w:szCs w:val="21"/>
        </w:rPr>
        <w:t>从评审报告提出</w:t>
      </w:r>
      <w:r>
        <w:rPr>
          <w:rFonts w:ascii="Times New Roman" w:hAnsi="Times New Roman"/>
          <w:bCs/>
          <w:sz w:val="24"/>
          <w:lang w:val="zh-CN"/>
        </w:rPr>
        <w:t>的</w:t>
      </w:r>
      <w:r>
        <w:rPr>
          <w:rFonts w:ascii="Times New Roman" w:hAnsi="Times New Roman"/>
          <w:bCs/>
          <w:sz w:val="24"/>
          <w:szCs w:val="21"/>
        </w:rPr>
        <w:t>成交候选供应商</w:t>
      </w:r>
      <w:r>
        <w:rPr>
          <w:rFonts w:ascii="Times New Roman" w:hAnsi="Times New Roman"/>
          <w:bCs/>
          <w:sz w:val="24"/>
          <w:lang w:val="zh-CN"/>
        </w:rPr>
        <w:t>中按顺序确定成交供应商。</w:t>
      </w:r>
    </w:p>
    <w:p w14:paraId="751F1A2B">
      <w:pPr>
        <w:tabs>
          <w:tab w:val="left" w:pos="900"/>
        </w:tabs>
        <w:spacing w:line="560" w:lineRule="exact"/>
        <w:ind w:firstLine="478"/>
        <w:rPr>
          <w:rFonts w:ascii="Times New Roman" w:hAnsi="Times New Roman"/>
          <w:bCs/>
          <w:sz w:val="24"/>
          <w:szCs w:val="21"/>
        </w:rPr>
      </w:pPr>
      <w:r>
        <w:rPr>
          <w:rFonts w:ascii="Times New Roman" w:hAnsi="Times New Roman"/>
          <w:bCs/>
          <w:sz w:val="24"/>
          <w:lang w:val="zh-CN"/>
        </w:rPr>
        <w:t>按第</w:t>
      </w:r>
      <w:r>
        <w:rPr>
          <w:rFonts w:ascii="Times New Roman" w:hAnsi="Times New Roman"/>
          <w:bCs/>
          <w:sz w:val="24"/>
        </w:rPr>
        <w:t>2</w:t>
      </w:r>
      <w:r>
        <w:rPr>
          <w:rFonts w:ascii="Times New Roman" w:hAnsi="Times New Roman"/>
          <w:bCs/>
          <w:sz w:val="24"/>
          <w:lang w:val="zh-CN"/>
        </w:rPr>
        <w:t>种方式确定成交供应商的，</w:t>
      </w:r>
      <w:r>
        <w:rPr>
          <w:rFonts w:ascii="Times New Roman" w:hAnsi="Times New Roman"/>
          <w:bCs/>
          <w:sz w:val="24"/>
        </w:rPr>
        <w:t>采购代理机构</w:t>
      </w:r>
      <w:r>
        <w:rPr>
          <w:rFonts w:ascii="Times New Roman" w:hAnsi="Times New Roman"/>
          <w:bCs/>
          <w:sz w:val="24"/>
          <w:lang w:val="zh-CN"/>
        </w:rPr>
        <w:t>自评审结束之日起两个工作日内将评审报告送交采购人，采购人自收到评审报告之日起五个工作日内在评审报告推荐的</w:t>
      </w:r>
      <w:r>
        <w:rPr>
          <w:rFonts w:ascii="Times New Roman" w:hAnsi="Times New Roman"/>
          <w:bCs/>
          <w:sz w:val="24"/>
          <w:szCs w:val="21"/>
        </w:rPr>
        <w:t>成交候选供应商</w:t>
      </w:r>
      <w:r>
        <w:rPr>
          <w:rFonts w:ascii="Times New Roman" w:hAnsi="Times New Roman"/>
          <w:bCs/>
          <w:sz w:val="24"/>
          <w:lang w:val="zh-CN"/>
        </w:rPr>
        <w:t>中按顺序确定成交供应商。</w:t>
      </w:r>
    </w:p>
    <w:p w14:paraId="3DF7F77A">
      <w:pPr>
        <w:tabs>
          <w:tab w:val="left" w:pos="900"/>
        </w:tabs>
        <w:spacing w:line="560" w:lineRule="exact"/>
        <w:ind w:firstLine="478"/>
        <w:rPr>
          <w:rFonts w:ascii="Times New Roman" w:hAnsi="Times New Roman"/>
          <w:bCs/>
          <w:sz w:val="24"/>
          <w:szCs w:val="21"/>
        </w:rPr>
      </w:pPr>
      <w:r>
        <w:rPr>
          <w:rFonts w:ascii="Times New Roman" w:hAnsi="Times New Roman"/>
          <w:bCs/>
          <w:sz w:val="24"/>
          <w:szCs w:val="21"/>
        </w:rPr>
        <w:t>28.3成交供应商确定后，采购代理机构将在“宿迁市政府采购网”发布成交结果公告，公告期限为1个工作日。</w:t>
      </w:r>
    </w:p>
    <w:p w14:paraId="71E1EE6D">
      <w:pPr>
        <w:tabs>
          <w:tab w:val="left" w:pos="900"/>
        </w:tabs>
        <w:spacing w:line="560" w:lineRule="exact"/>
        <w:ind w:firstLine="478"/>
        <w:rPr>
          <w:rFonts w:ascii="Times New Roman" w:hAnsi="Times New Roman"/>
          <w:bCs/>
          <w:sz w:val="24"/>
          <w:szCs w:val="21"/>
        </w:rPr>
      </w:pPr>
      <w:r>
        <w:rPr>
          <w:rFonts w:ascii="Times New Roman" w:hAnsi="Times New Roman"/>
          <w:bCs/>
          <w:sz w:val="24"/>
          <w:szCs w:val="21"/>
        </w:rPr>
        <w:t>28.4若有充分证据证明，成交供应商出现下列情况之一的，一经查实，将被取消成交资格：</w:t>
      </w:r>
    </w:p>
    <w:p w14:paraId="510899F0">
      <w:pPr>
        <w:spacing w:line="560" w:lineRule="exact"/>
        <w:ind w:firstLine="480"/>
        <w:rPr>
          <w:rFonts w:ascii="Times New Roman" w:hAnsi="Times New Roman"/>
          <w:bCs/>
          <w:sz w:val="24"/>
          <w:szCs w:val="21"/>
        </w:rPr>
      </w:pPr>
      <w:r>
        <w:rPr>
          <w:rFonts w:ascii="Times New Roman" w:hAnsi="Times New Roman"/>
          <w:bCs/>
          <w:sz w:val="24"/>
          <w:szCs w:val="21"/>
        </w:rPr>
        <w:t>28.4.1提供虚假材料谋取成交的。</w:t>
      </w:r>
    </w:p>
    <w:p w14:paraId="5BD07CE0">
      <w:pPr>
        <w:spacing w:line="560" w:lineRule="exact"/>
        <w:ind w:firstLine="480"/>
        <w:rPr>
          <w:rFonts w:ascii="Times New Roman" w:hAnsi="Times New Roman"/>
          <w:bCs/>
          <w:sz w:val="24"/>
          <w:szCs w:val="21"/>
        </w:rPr>
      </w:pPr>
      <w:r>
        <w:rPr>
          <w:rFonts w:ascii="Times New Roman" w:hAnsi="Times New Roman"/>
          <w:bCs/>
          <w:sz w:val="24"/>
          <w:szCs w:val="21"/>
        </w:rPr>
        <w:t>28.4.2与评审专家、采购人、其他供应商或者</w:t>
      </w:r>
      <w:r>
        <w:rPr>
          <w:rFonts w:ascii="Times New Roman" w:hAnsi="Times New Roman"/>
          <w:sz w:val="24"/>
          <w:szCs w:val="21"/>
        </w:rPr>
        <w:t>采购代理机构</w:t>
      </w:r>
      <w:r>
        <w:rPr>
          <w:rFonts w:ascii="Times New Roman" w:hAnsi="Times New Roman"/>
          <w:bCs/>
          <w:sz w:val="24"/>
          <w:szCs w:val="21"/>
        </w:rPr>
        <w:t>工作人员恶意串通的。</w:t>
      </w:r>
    </w:p>
    <w:p w14:paraId="230CA1A8">
      <w:pPr>
        <w:spacing w:line="560" w:lineRule="exact"/>
        <w:ind w:firstLine="480"/>
        <w:rPr>
          <w:rFonts w:ascii="Times New Roman" w:hAnsi="Times New Roman"/>
          <w:bCs/>
          <w:sz w:val="24"/>
          <w:szCs w:val="21"/>
        </w:rPr>
      </w:pPr>
      <w:r>
        <w:rPr>
          <w:rFonts w:ascii="Times New Roman" w:hAnsi="Times New Roman"/>
          <w:bCs/>
          <w:sz w:val="24"/>
          <w:szCs w:val="21"/>
        </w:rPr>
        <w:t>28.4.3向评审专家、采购人或</w:t>
      </w:r>
      <w:r>
        <w:rPr>
          <w:rFonts w:ascii="Times New Roman" w:hAnsi="Times New Roman"/>
          <w:sz w:val="24"/>
          <w:szCs w:val="21"/>
        </w:rPr>
        <w:t>采购代理机构</w:t>
      </w:r>
      <w:r>
        <w:rPr>
          <w:rFonts w:ascii="Times New Roman" w:hAnsi="Times New Roman"/>
          <w:bCs/>
          <w:sz w:val="24"/>
          <w:szCs w:val="21"/>
        </w:rPr>
        <w:t>工作人员行贿或者提供其他不正当利益的。</w:t>
      </w:r>
    </w:p>
    <w:p w14:paraId="479F7000">
      <w:pPr>
        <w:spacing w:line="560" w:lineRule="exact"/>
        <w:ind w:firstLine="480"/>
        <w:rPr>
          <w:rFonts w:ascii="Times New Roman" w:hAnsi="Times New Roman"/>
          <w:bCs/>
          <w:sz w:val="24"/>
          <w:szCs w:val="21"/>
        </w:rPr>
      </w:pPr>
      <w:r>
        <w:rPr>
          <w:rFonts w:ascii="Times New Roman" w:hAnsi="Times New Roman"/>
          <w:bCs/>
          <w:sz w:val="24"/>
          <w:szCs w:val="21"/>
        </w:rPr>
        <w:t>28.4.4恶意竞争，最后报价明显低于其自身合理成本且又无法提供证明的。</w:t>
      </w:r>
    </w:p>
    <w:p w14:paraId="22237B07">
      <w:pPr>
        <w:spacing w:line="560" w:lineRule="exact"/>
        <w:ind w:firstLine="480"/>
        <w:rPr>
          <w:rFonts w:ascii="Times New Roman" w:hAnsi="Times New Roman"/>
          <w:bCs/>
          <w:sz w:val="24"/>
          <w:szCs w:val="21"/>
        </w:rPr>
      </w:pPr>
      <w:r>
        <w:rPr>
          <w:rFonts w:ascii="Times New Roman" w:hAnsi="Times New Roman"/>
          <w:bCs/>
          <w:sz w:val="24"/>
          <w:szCs w:val="21"/>
        </w:rPr>
        <w:t>28.4.5不满足本磋商文件规定的实质性要求，但在评审过程中又未被磋商小组发现的。</w:t>
      </w:r>
    </w:p>
    <w:p w14:paraId="4DE407B0">
      <w:pPr>
        <w:spacing w:line="560" w:lineRule="exact"/>
        <w:ind w:firstLine="480"/>
        <w:rPr>
          <w:rFonts w:ascii="Times New Roman" w:hAnsi="Times New Roman"/>
          <w:bCs/>
          <w:sz w:val="24"/>
          <w:szCs w:val="21"/>
        </w:rPr>
      </w:pPr>
      <w:r>
        <w:rPr>
          <w:rFonts w:ascii="Times New Roman" w:hAnsi="Times New Roman"/>
          <w:bCs/>
          <w:sz w:val="24"/>
          <w:szCs w:val="21"/>
        </w:rPr>
        <w:t>28.4.6成交后无正当理由拒不与采购人签订政府采购合同或者未按照磋商文件确定的事项签订政府采购合同的。</w:t>
      </w:r>
    </w:p>
    <w:p w14:paraId="150739AF">
      <w:pPr>
        <w:spacing w:line="560" w:lineRule="exact"/>
        <w:ind w:firstLine="480"/>
        <w:rPr>
          <w:rFonts w:ascii="Times New Roman" w:hAnsi="Times New Roman"/>
          <w:bCs/>
          <w:sz w:val="24"/>
          <w:szCs w:val="21"/>
        </w:rPr>
      </w:pPr>
      <w:r>
        <w:rPr>
          <w:rFonts w:ascii="Times New Roman" w:hAnsi="Times New Roman"/>
          <w:bCs/>
          <w:sz w:val="24"/>
          <w:szCs w:val="21"/>
        </w:rPr>
        <w:t>28.4.7将政府采购合同转包的。</w:t>
      </w:r>
    </w:p>
    <w:p w14:paraId="65B83557">
      <w:pPr>
        <w:keepNext/>
        <w:keepLines/>
        <w:spacing w:line="560" w:lineRule="exact"/>
        <w:ind w:firstLine="422"/>
        <w:outlineLvl w:val="3"/>
        <w:rPr>
          <w:rFonts w:ascii="Times New Roman" w:hAnsi="Times New Roman"/>
          <w:b/>
          <w:sz w:val="28"/>
          <w:szCs w:val="28"/>
        </w:rPr>
      </w:pPr>
      <w:bookmarkStart w:id="183" w:name="_Toc200451960"/>
      <w:r>
        <w:rPr>
          <w:rFonts w:ascii="Times New Roman" w:hAnsi="Times New Roman"/>
          <w:b/>
          <w:sz w:val="28"/>
          <w:szCs w:val="28"/>
        </w:rPr>
        <w:t>29、质疑处理</w:t>
      </w:r>
      <w:bookmarkEnd w:id="183"/>
    </w:p>
    <w:p w14:paraId="31FCCD46">
      <w:pPr>
        <w:spacing w:line="560" w:lineRule="exact"/>
        <w:ind w:firstLine="480"/>
        <w:rPr>
          <w:rFonts w:ascii="Times New Roman" w:hAnsi="Times New Roman"/>
          <w:sz w:val="24"/>
          <w:szCs w:val="24"/>
        </w:rPr>
      </w:pPr>
      <w:r>
        <w:rPr>
          <w:rFonts w:ascii="Times New Roman" w:hAnsi="Times New Roman"/>
          <w:sz w:val="24"/>
          <w:szCs w:val="24"/>
        </w:rPr>
        <w:t>29.1 提出质疑的供应商应当是参与所质疑项目采购活动的供应商。潜在供应商依法获取其可质疑的采购文件的，可以对采购文件提出质疑。</w:t>
      </w:r>
    </w:p>
    <w:p w14:paraId="440C0B64">
      <w:pPr>
        <w:spacing w:line="560" w:lineRule="exact"/>
        <w:ind w:firstLine="480"/>
        <w:rPr>
          <w:rFonts w:ascii="Times New Roman" w:hAnsi="Times New Roman"/>
          <w:sz w:val="24"/>
          <w:szCs w:val="24"/>
        </w:rPr>
      </w:pPr>
      <w:r>
        <w:rPr>
          <w:rFonts w:ascii="Times New Roman" w:hAnsi="Times New Roman"/>
          <w:sz w:val="24"/>
          <w:szCs w:val="24"/>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7ED87890">
      <w:pPr>
        <w:spacing w:line="560" w:lineRule="exact"/>
        <w:ind w:firstLine="480"/>
        <w:rPr>
          <w:rFonts w:ascii="Times New Roman" w:hAnsi="Times New Roman"/>
          <w:sz w:val="24"/>
          <w:szCs w:val="24"/>
        </w:rPr>
      </w:pPr>
      <w:r>
        <w:rPr>
          <w:rFonts w:ascii="Times New Roman" w:hAnsi="Times New Roman"/>
          <w:sz w:val="24"/>
          <w:szCs w:val="24"/>
        </w:rPr>
        <w:t>29.2.1对可以质疑的采购文件提出质疑的，为收到采购文件之日或者采购文件公告期限届满之日。</w:t>
      </w:r>
    </w:p>
    <w:p w14:paraId="2853F3FB">
      <w:pPr>
        <w:spacing w:line="560" w:lineRule="exact"/>
        <w:ind w:firstLine="480"/>
        <w:rPr>
          <w:rFonts w:ascii="Times New Roman" w:hAnsi="Times New Roman"/>
          <w:sz w:val="24"/>
          <w:szCs w:val="24"/>
        </w:rPr>
      </w:pPr>
      <w:r>
        <w:rPr>
          <w:rFonts w:ascii="Times New Roman" w:hAnsi="Times New Roman"/>
          <w:sz w:val="24"/>
          <w:szCs w:val="24"/>
        </w:rPr>
        <w:t>29.2.2对采购过程提出质疑的，为各采购程序环节结束之日。</w:t>
      </w:r>
    </w:p>
    <w:p w14:paraId="299B09CB">
      <w:pPr>
        <w:spacing w:line="560" w:lineRule="exact"/>
        <w:ind w:firstLine="480"/>
        <w:rPr>
          <w:rFonts w:ascii="Times New Roman" w:hAnsi="Times New Roman"/>
          <w:sz w:val="24"/>
          <w:szCs w:val="24"/>
        </w:rPr>
      </w:pPr>
      <w:r>
        <w:rPr>
          <w:rFonts w:ascii="Times New Roman" w:hAnsi="Times New Roman"/>
          <w:sz w:val="24"/>
          <w:szCs w:val="24"/>
        </w:rPr>
        <w:t>29.2.3对成交结果提出质疑的，为成交结果公告期限届满之日。</w:t>
      </w:r>
    </w:p>
    <w:p w14:paraId="213BE3E0">
      <w:pPr>
        <w:spacing w:line="560" w:lineRule="exact"/>
        <w:ind w:firstLine="480"/>
        <w:rPr>
          <w:rFonts w:ascii="Times New Roman" w:hAnsi="Times New Roman"/>
          <w:sz w:val="24"/>
          <w:szCs w:val="24"/>
        </w:rPr>
      </w:pPr>
      <w:r>
        <w:rPr>
          <w:rFonts w:ascii="Times New Roman" w:hAnsi="Times New Roman"/>
          <w:sz w:val="24"/>
          <w:szCs w:val="24"/>
        </w:rPr>
        <w:t>供应商应当在法定质疑期内一次性提出针对同一采购程序环节的质疑。供应商如在法定期限内对同一采购程序环节提出多次质疑的，</w:t>
      </w:r>
      <w:r>
        <w:rPr>
          <w:rFonts w:ascii="Times New Roman" w:hAnsi="Times New Roman"/>
          <w:sz w:val="24"/>
          <w:szCs w:val="21"/>
        </w:rPr>
        <w:t>采购代理机构</w:t>
      </w:r>
      <w:r>
        <w:rPr>
          <w:rFonts w:ascii="Times New Roman" w:hAnsi="Times New Roman"/>
          <w:sz w:val="24"/>
          <w:szCs w:val="24"/>
        </w:rPr>
        <w:t>、采购人将只对供应商第一次质疑作出答复。</w:t>
      </w:r>
    </w:p>
    <w:p w14:paraId="06F9DF75">
      <w:pPr>
        <w:spacing w:line="560" w:lineRule="exact"/>
        <w:ind w:firstLine="480"/>
        <w:rPr>
          <w:rFonts w:ascii="Times New Roman" w:hAnsi="Times New Roman"/>
          <w:sz w:val="24"/>
          <w:szCs w:val="24"/>
        </w:rPr>
      </w:pPr>
      <w:r>
        <w:rPr>
          <w:rFonts w:ascii="Times New Roman" w:hAnsi="Times New Roman"/>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63EDA9C2">
      <w:pPr>
        <w:spacing w:line="560" w:lineRule="exact"/>
        <w:ind w:firstLine="480"/>
        <w:rPr>
          <w:rFonts w:ascii="Times New Roman" w:hAnsi="Times New Roman"/>
          <w:sz w:val="24"/>
          <w:szCs w:val="24"/>
        </w:rPr>
      </w:pPr>
      <w:r>
        <w:rPr>
          <w:rFonts w:ascii="Times New Roman" w:hAnsi="Times New Roman"/>
          <w:sz w:val="24"/>
          <w:szCs w:val="24"/>
        </w:rPr>
        <w:t>29.4 供应商应以书面形式向采购人或者其委托的采购代理机构提出质疑。质疑超出采购机构代理范围的，供应商应当向采购人提出。</w:t>
      </w:r>
    </w:p>
    <w:p w14:paraId="3D775555">
      <w:pPr>
        <w:spacing w:line="560" w:lineRule="exact"/>
        <w:ind w:firstLine="480"/>
        <w:rPr>
          <w:rFonts w:ascii="Times New Roman" w:hAnsi="Times New Roman"/>
          <w:sz w:val="24"/>
          <w:szCs w:val="24"/>
        </w:rPr>
      </w:pPr>
      <w:r>
        <w:rPr>
          <w:rFonts w:ascii="Times New Roman" w:hAnsi="Times New Roman"/>
          <w:sz w:val="24"/>
          <w:szCs w:val="24"/>
        </w:rPr>
        <w:t>接收质疑函的方式：现场接收或邮寄接收。</w:t>
      </w:r>
    </w:p>
    <w:p w14:paraId="6FDB0984">
      <w:pPr>
        <w:spacing w:line="560" w:lineRule="exact"/>
        <w:ind w:firstLine="480"/>
        <w:rPr>
          <w:rFonts w:ascii="Times New Roman" w:hAnsi="Times New Roman"/>
          <w:sz w:val="24"/>
          <w:szCs w:val="24"/>
          <w:u w:val="single"/>
        </w:rPr>
      </w:pPr>
      <w:r>
        <w:rPr>
          <w:rFonts w:ascii="Times New Roman" w:hAnsi="Times New Roman"/>
          <w:sz w:val="24"/>
          <w:szCs w:val="24"/>
        </w:rPr>
        <w:t>联系部门：</w:t>
      </w:r>
      <w:r>
        <w:rPr>
          <w:rFonts w:hint="eastAsia" w:ascii="Times New Roman" w:hAnsi="Times New Roman"/>
          <w:sz w:val="24"/>
        </w:rPr>
        <w:t>泗阳县农业技术推广中心/</w:t>
      </w:r>
      <w:r>
        <w:rPr>
          <w:rFonts w:ascii="Times New Roman" w:hAnsi="Times New Roman"/>
          <w:sz w:val="24"/>
        </w:rPr>
        <w:t>江苏志诚工程咨询管理有限公司</w:t>
      </w:r>
    </w:p>
    <w:p w14:paraId="1884E7AF">
      <w:pPr>
        <w:spacing w:line="560" w:lineRule="exact"/>
        <w:ind w:firstLine="480"/>
        <w:rPr>
          <w:rFonts w:ascii="Times New Roman" w:hAnsi="Times New Roman"/>
          <w:sz w:val="24"/>
          <w:szCs w:val="24"/>
          <w:u w:val="single"/>
        </w:rPr>
      </w:pPr>
      <w:r>
        <w:rPr>
          <w:rFonts w:ascii="Times New Roman" w:hAnsi="Times New Roman"/>
          <w:sz w:val="24"/>
          <w:szCs w:val="24"/>
        </w:rPr>
        <w:t>联系电话：</w:t>
      </w:r>
      <w:r>
        <w:rPr>
          <w:rFonts w:hint="eastAsia" w:ascii="Times New Roman" w:hAnsi="Times New Roman"/>
          <w:sz w:val="24"/>
        </w:rPr>
        <w:t>孙楠0527-88765981/杨欣荣15051004756</w:t>
      </w:r>
    </w:p>
    <w:p w14:paraId="13F8E8AE">
      <w:pPr>
        <w:spacing w:line="560" w:lineRule="exact"/>
        <w:ind w:firstLine="480"/>
        <w:rPr>
          <w:rFonts w:ascii="Times New Roman" w:hAnsi="Times New Roman"/>
          <w:sz w:val="24"/>
          <w:szCs w:val="24"/>
          <w:u w:val="single"/>
        </w:rPr>
      </w:pPr>
      <w:r>
        <w:rPr>
          <w:rFonts w:ascii="Times New Roman" w:hAnsi="Times New Roman"/>
          <w:sz w:val="24"/>
          <w:szCs w:val="24"/>
        </w:rPr>
        <w:t>通讯地址：</w:t>
      </w:r>
      <w:r>
        <w:rPr>
          <w:rFonts w:hint="eastAsia" w:ascii="Times New Roman" w:hAnsi="Times New Roman"/>
          <w:sz w:val="24"/>
          <w:szCs w:val="24"/>
        </w:rPr>
        <w:t>泗阳县西康路与北京路交汇处　/泗阳县泗水古城商业街B段02栋三楼</w:t>
      </w:r>
    </w:p>
    <w:p w14:paraId="3E7EDB9E">
      <w:pPr>
        <w:spacing w:line="560" w:lineRule="exact"/>
        <w:ind w:firstLine="480"/>
        <w:rPr>
          <w:rFonts w:ascii="Times New Roman" w:hAnsi="Times New Roman"/>
          <w:sz w:val="24"/>
          <w:szCs w:val="24"/>
        </w:rPr>
      </w:pPr>
      <w:r>
        <w:rPr>
          <w:rFonts w:ascii="Times New Roman" w:hAnsi="Times New Roman"/>
          <w:sz w:val="24"/>
          <w:szCs w:val="24"/>
        </w:rPr>
        <w:t>29.5 以下情形的质疑不予受理</w:t>
      </w:r>
    </w:p>
    <w:p w14:paraId="3BDFB8FF">
      <w:pPr>
        <w:spacing w:line="560" w:lineRule="exact"/>
        <w:ind w:firstLine="480"/>
        <w:rPr>
          <w:rFonts w:ascii="Times New Roman" w:hAnsi="Times New Roman"/>
          <w:sz w:val="24"/>
          <w:szCs w:val="24"/>
        </w:rPr>
      </w:pPr>
      <w:r>
        <w:rPr>
          <w:rFonts w:ascii="Times New Roman" w:hAnsi="Times New Roman"/>
          <w:sz w:val="24"/>
          <w:szCs w:val="24"/>
        </w:rPr>
        <w:t>29.5.1 内容不符合《政府采购质疑和投诉办法》第十二条规定的质疑。</w:t>
      </w:r>
    </w:p>
    <w:p w14:paraId="73337C74">
      <w:pPr>
        <w:spacing w:line="560" w:lineRule="exact"/>
        <w:ind w:firstLine="480"/>
        <w:rPr>
          <w:rFonts w:ascii="Times New Roman" w:hAnsi="Times New Roman"/>
          <w:sz w:val="24"/>
          <w:szCs w:val="24"/>
        </w:rPr>
      </w:pPr>
      <w:r>
        <w:rPr>
          <w:rFonts w:ascii="Times New Roman" w:hAnsi="Times New Roman"/>
          <w:sz w:val="24"/>
          <w:szCs w:val="24"/>
        </w:rPr>
        <w:t>29.5.2 超出政府采购法定期限的质疑。</w:t>
      </w:r>
    </w:p>
    <w:p w14:paraId="7C25B2CD">
      <w:pPr>
        <w:spacing w:line="560" w:lineRule="exact"/>
        <w:ind w:firstLine="480"/>
        <w:rPr>
          <w:rFonts w:ascii="Times New Roman" w:hAnsi="Times New Roman"/>
          <w:sz w:val="24"/>
          <w:szCs w:val="24"/>
        </w:rPr>
      </w:pPr>
      <w:r>
        <w:rPr>
          <w:rFonts w:ascii="Times New Roman" w:hAnsi="Times New Roman"/>
          <w:sz w:val="24"/>
          <w:szCs w:val="24"/>
        </w:rPr>
        <w:t>29.5.3 以传真、电子邮件等方式递交的非原件形式的质疑。</w:t>
      </w:r>
    </w:p>
    <w:p w14:paraId="7AE3F71D">
      <w:pPr>
        <w:spacing w:line="560" w:lineRule="exact"/>
        <w:ind w:firstLine="480"/>
        <w:rPr>
          <w:rFonts w:ascii="Times New Roman" w:hAnsi="Times New Roman"/>
          <w:sz w:val="24"/>
          <w:szCs w:val="24"/>
        </w:rPr>
      </w:pPr>
      <w:r>
        <w:rPr>
          <w:rFonts w:ascii="Times New Roman" w:hAnsi="Times New Roman"/>
          <w:sz w:val="24"/>
          <w:szCs w:val="24"/>
        </w:rPr>
        <w:t>29.5.4 未参加磋商活动的供应商或在磋商活动中自身权益未受到损害的供应商所提出的质疑。</w:t>
      </w:r>
    </w:p>
    <w:p w14:paraId="5E66A678">
      <w:pPr>
        <w:spacing w:line="560" w:lineRule="exact"/>
        <w:ind w:firstLine="480"/>
        <w:rPr>
          <w:rFonts w:ascii="Times New Roman" w:hAnsi="Times New Roman"/>
          <w:sz w:val="24"/>
          <w:szCs w:val="24"/>
        </w:rPr>
      </w:pPr>
      <w:r>
        <w:rPr>
          <w:rFonts w:ascii="Times New Roman" w:hAnsi="Times New Roman"/>
          <w:sz w:val="24"/>
          <w:szCs w:val="24"/>
        </w:rPr>
        <w:t>29.5.5供应商组成联合体参加磋商，联合体中任何一方或多方未按要求签字、盖章、加盖公章的质疑。</w:t>
      </w:r>
    </w:p>
    <w:p w14:paraId="60DBA8BB">
      <w:pPr>
        <w:spacing w:line="560" w:lineRule="exact"/>
        <w:ind w:firstLine="468"/>
        <w:rPr>
          <w:rFonts w:ascii="Times New Roman" w:hAnsi="Times New Roman"/>
          <w:sz w:val="24"/>
          <w:szCs w:val="24"/>
        </w:rPr>
      </w:pPr>
      <w:r>
        <w:rPr>
          <w:rFonts w:ascii="Times New Roman" w:hAnsi="Times New Roman"/>
          <w:sz w:val="24"/>
          <w:szCs w:val="24"/>
        </w:rPr>
        <w:t>29.6  供应商提出书面质疑必须有理、有据，不得捏造事实、提供虚假材料进行恶意质疑。否则，一经查实，</w:t>
      </w:r>
      <w:r>
        <w:rPr>
          <w:rFonts w:ascii="Times New Roman" w:hAnsi="Times New Roman"/>
          <w:sz w:val="24"/>
          <w:szCs w:val="21"/>
        </w:rPr>
        <w:t>采购代理机构</w:t>
      </w:r>
      <w:r>
        <w:rPr>
          <w:rFonts w:ascii="Times New Roman" w:hAnsi="Times New Roman"/>
          <w:sz w:val="24"/>
          <w:szCs w:val="24"/>
        </w:rPr>
        <w:t>有权依据政府采购的有关规定，报请政府采购监管部门对该供应商进行相应的行政处罚和记录该供应商的失信信息。</w:t>
      </w:r>
    </w:p>
    <w:p w14:paraId="65207890">
      <w:pPr>
        <w:spacing w:line="560" w:lineRule="exact"/>
        <w:ind w:firstLine="468"/>
        <w:rPr>
          <w:rFonts w:ascii="Times New Roman" w:hAnsi="Times New Roman"/>
          <w:sz w:val="24"/>
          <w:szCs w:val="24"/>
        </w:rPr>
      </w:pPr>
      <w:r>
        <w:rPr>
          <w:rFonts w:ascii="Times New Roman" w:hAnsi="Times New Roman"/>
          <w:sz w:val="24"/>
          <w:szCs w:val="24"/>
        </w:rPr>
        <w:t>29.7质疑供应商对采购人、采购代理机构的答复不满意，或者采购人、采购代理机构未在规定时间内作出答复的，可以在答复期满后15个工作日内向同级财政部门提起投诉。</w:t>
      </w:r>
    </w:p>
    <w:p w14:paraId="151CE7B7">
      <w:pPr>
        <w:keepNext/>
        <w:keepLines/>
        <w:spacing w:line="560" w:lineRule="exact"/>
        <w:ind w:firstLine="422"/>
        <w:outlineLvl w:val="3"/>
        <w:rPr>
          <w:rFonts w:ascii="Times New Roman" w:hAnsi="Times New Roman"/>
          <w:b/>
          <w:sz w:val="28"/>
          <w:szCs w:val="28"/>
        </w:rPr>
      </w:pPr>
      <w:r>
        <w:rPr>
          <w:rFonts w:ascii="Times New Roman" w:hAnsi="Times New Roman"/>
          <w:b/>
          <w:sz w:val="28"/>
          <w:szCs w:val="28"/>
        </w:rPr>
        <w:t>30、成交通知书</w:t>
      </w:r>
    </w:p>
    <w:p w14:paraId="68D220B7">
      <w:pPr>
        <w:spacing w:line="560" w:lineRule="exact"/>
        <w:ind w:firstLine="600"/>
        <w:rPr>
          <w:rFonts w:ascii="Times New Roman" w:hAnsi="Times New Roman"/>
          <w:sz w:val="24"/>
          <w:szCs w:val="24"/>
        </w:rPr>
      </w:pPr>
      <w:r>
        <w:rPr>
          <w:rFonts w:ascii="Times New Roman" w:hAnsi="Times New Roman"/>
          <w:sz w:val="24"/>
          <w:szCs w:val="24"/>
        </w:rPr>
        <w:t>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3D934D25">
      <w:pPr>
        <w:spacing w:line="560" w:lineRule="exact"/>
        <w:ind w:firstLine="600"/>
        <w:rPr>
          <w:rFonts w:ascii="Times New Roman" w:hAnsi="Times New Roman"/>
          <w:sz w:val="24"/>
          <w:szCs w:val="24"/>
        </w:rPr>
      </w:pPr>
      <w:r>
        <w:rPr>
          <w:rFonts w:ascii="Times New Roman" w:hAnsi="Times New Roman"/>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3334AC4F">
      <w:pPr>
        <w:keepNext/>
        <w:keepLines/>
        <w:spacing w:line="560" w:lineRule="exact"/>
        <w:outlineLvl w:val="2"/>
        <w:rPr>
          <w:rFonts w:ascii="Times New Roman" w:hAnsi="Times New Roman"/>
          <w:b/>
          <w:bCs/>
          <w:sz w:val="32"/>
          <w:szCs w:val="32"/>
        </w:rPr>
      </w:pPr>
      <w:bookmarkStart w:id="184" w:name="_Toc120614220"/>
      <w:bookmarkStart w:id="185" w:name="_Toc30432"/>
      <w:bookmarkStart w:id="186" w:name="_Toc513029236"/>
      <w:bookmarkStart w:id="187" w:name="_Toc20823308"/>
      <w:bookmarkStart w:id="188" w:name="_Toc16938552"/>
      <w:r>
        <w:rPr>
          <w:rFonts w:ascii="Times New Roman" w:hAnsi="Times New Roman"/>
          <w:b/>
          <w:bCs/>
          <w:sz w:val="32"/>
          <w:szCs w:val="32"/>
        </w:rPr>
        <w:t>七、授予合同</w:t>
      </w:r>
      <w:bookmarkEnd w:id="184"/>
      <w:bookmarkEnd w:id="185"/>
      <w:bookmarkEnd w:id="186"/>
      <w:bookmarkEnd w:id="187"/>
      <w:bookmarkEnd w:id="188"/>
    </w:p>
    <w:p w14:paraId="74A863C0">
      <w:pPr>
        <w:keepNext/>
        <w:keepLines/>
        <w:spacing w:line="560" w:lineRule="exact"/>
        <w:ind w:firstLine="422"/>
        <w:outlineLvl w:val="3"/>
        <w:rPr>
          <w:rFonts w:ascii="Times New Roman" w:hAnsi="Times New Roman"/>
          <w:b/>
          <w:sz w:val="28"/>
          <w:szCs w:val="28"/>
        </w:rPr>
      </w:pPr>
      <w:bookmarkStart w:id="189" w:name="_Toc513029237"/>
      <w:bookmarkStart w:id="190" w:name="_Toc16938553"/>
      <w:bookmarkStart w:id="191" w:name="_Toc20823309"/>
      <w:r>
        <w:rPr>
          <w:rFonts w:ascii="Times New Roman" w:hAnsi="Times New Roman"/>
          <w:b/>
          <w:sz w:val="28"/>
          <w:szCs w:val="28"/>
        </w:rPr>
        <w:t>31. 签订合同</w:t>
      </w:r>
    </w:p>
    <w:p w14:paraId="329B67B9">
      <w:pPr>
        <w:spacing w:line="560" w:lineRule="exact"/>
        <w:ind w:firstLine="600"/>
        <w:rPr>
          <w:rFonts w:ascii="Times New Roman" w:hAnsi="Times New Roman"/>
          <w:sz w:val="24"/>
          <w:szCs w:val="24"/>
        </w:rPr>
      </w:pPr>
      <w:r>
        <w:rPr>
          <w:rFonts w:ascii="Times New Roman" w:hAnsi="Times New Roman"/>
          <w:bCs/>
          <w:sz w:val="24"/>
          <w:szCs w:val="24"/>
        </w:rPr>
        <w:t>31</w:t>
      </w:r>
      <w:r>
        <w:rPr>
          <w:rFonts w:ascii="Times New Roman" w:hAnsi="Times New Roman"/>
          <w:sz w:val="24"/>
          <w:szCs w:val="24"/>
        </w:rPr>
        <w:t>.l成交供应商应当在成交通知书发出之日起15日内，按照磋商文件确定的事项与采购人签订政府采购合同。</w:t>
      </w:r>
    </w:p>
    <w:p w14:paraId="19714D6F">
      <w:pPr>
        <w:spacing w:line="560" w:lineRule="exact"/>
        <w:ind w:firstLine="600"/>
        <w:rPr>
          <w:rFonts w:ascii="Times New Roman" w:hAnsi="Times New Roman"/>
          <w:sz w:val="24"/>
          <w:szCs w:val="24"/>
        </w:rPr>
      </w:pPr>
      <w:r>
        <w:rPr>
          <w:rFonts w:ascii="Times New Roman" w:hAnsi="Times New Roman"/>
          <w:sz w:val="24"/>
          <w:szCs w:val="24"/>
        </w:rPr>
        <w:t>31.2磋商文件、成交供应商的响应文件及磋商过程中有关澄清、承诺文件均应作为合同附件。</w:t>
      </w:r>
    </w:p>
    <w:p w14:paraId="743305CB">
      <w:pPr>
        <w:spacing w:line="560" w:lineRule="exact"/>
        <w:ind w:firstLine="600"/>
        <w:rPr>
          <w:rFonts w:ascii="Times New Roman" w:hAnsi="Times New Roman"/>
          <w:sz w:val="24"/>
          <w:szCs w:val="24"/>
        </w:rPr>
      </w:pPr>
      <w:r>
        <w:rPr>
          <w:rFonts w:ascii="Times New Roman" w:hAnsi="Times New Roman"/>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35A0B7D6">
      <w:pPr>
        <w:spacing w:line="560" w:lineRule="exact"/>
        <w:ind w:firstLine="600"/>
        <w:rPr>
          <w:rFonts w:ascii="Times New Roman" w:hAnsi="Times New Roman"/>
          <w:sz w:val="24"/>
          <w:szCs w:val="24"/>
        </w:rPr>
      </w:pPr>
      <w:r>
        <w:rPr>
          <w:rFonts w:ascii="Times New Roman" w:hAnsi="Times New Roman"/>
          <w:sz w:val="24"/>
          <w:szCs w:val="24"/>
        </w:rPr>
        <w:t>31.4本项目的非主体、非关键性工作是否允许分包按以下第</w:t>
      </w:r>
      <w:r>
        <w:rPr>
          <w:rFonts w:ascii="Times New Roman" w:hAnsi="Times New Roman"/>
          <w:sz w:val="24"/>
          <w:szCs w:val="24"/>
          <w:u w:val="single"/>
        </w:rPr>
        <w:t xml:space="preserve">  2  </w:t>
      </w:r>
      <w:r>
        <w:rPr>
          <w:rFonts w:ascii="Times New Roman" w:hAnsi="Times New Roman"/>
          <w:sz w:val="24"/>
          <w:szCs w:val="24"/>
        </w:rPr>
        <w:t>种方式确定：</w:t>
      </w:r>
    </w:p>
    <w:p w14:paraId="1014BE29">
      <w:pPr>
        <w:spacing w:line="560" w:lineRule="exact"/>
        <w:ind w:firstLine="720"/>
        <w:rPr>
          <w:rFonts w:ascii="Times New Roman" w:hAnsi="Times New Roman"/>
          <w:sz w:val="24"/>
          <w:szCs w:val="24"/>
          <w:u w:val="single"/>
        </w:rPr>
      </w:pPr>
      <w:r>
        <w:rPr>
          <w:rFonts w:ascii="Times New Roman" w:hAnsi="Times New Roman"/>
          <w:sz w:val="24"/>
          <w:szCs w:val="24"/>
        </w:rPr>
        <w:t>1.允许分包，允许大中型企业向一家或者多家小微企业分包，分包具体内容、金额或比例：</w:t>
      </w:r>
      <w:r>
        <w:rPr>
          <w:rFonts w:ascii="Times New Roman" w:hAnsi="Times New Roman"/>
          <w:sz w:val="24"/>
          <w:szCs w:val="24"/>
          <w:u w:val="single"/>
        </w:rPr>
        <w:t xml:space="preserve"> / ；</w:t>
      </w:r>
    </w:p>
    <w:p w14:paraId="58FC8FB7">
      <w:pPr>
        <w:spacing w:line="560" w:lineRule="exact"/>
        <w:ind w:firstLine="600"/>
        <w:rPr>
          <w:rFonts w:ascii="Times New Roman" w:hAnsi="Times New Roman"/>
          <w:sz w:val="24"/>
          <w:szCs w:val="24"/>
        </w:rPr>
      </w:pPr>
      <w:r>
        <w:rPr>
          <w:rFonts w:ascii="Times New Roman" w:hAnsi="Times New Roman"/>
          <w:sz w:val="24"/>
          <w:szCs w:val="24"/>
        </w:rPr>
        <w:t xml:space="preserve"> 2.不允许分包。未经采购人同意，成交供应商也不得采用分包形式履行合同,否则采购人有权终止合同。转包或分包造成采购人损失的，成交供应商应承担相应赔偿责任。</w:t>
      </w:r>
    </w:p>
    <w:p w14:paraId="78DB026D">
      <w:pPr>
        <w:spacing w:line="560" w:lineRule="exact"/>
        <w:ind w:firstLine="480"/>
        <w:rPr>
          <w:rFonts w:ascii="Times New Roman" w:hAnsi="Times New Roman"/>
          <w:bCs/>
          <w:sz w:val="24"/>
        </w:rPr>
      </w:pPr>
      <w:r>
        <w:rPr>
          <w:rFonts w:ascii="Times New Roman" w:hAnsi="Times New Roman"/>
          <w:bCs/>
          <w:sz w:val="24"/>
        </w:rPr>
        <w:t>31.5履约保证金</w:t>
      </w:r>
    </w:p>
    <w:p w14:paraId="3981B07E">
      <w:pPr>
        <w:spacing w:line="560" w:lineRule="exact"/>
        <w:ind w:firstLine="480"/>
        <w:rPr>
          <w:rFonts w:ascii="Times New Roman" w:hAnsi="Times New Roman"/>
          <w:bCs/>
          <w:sz w:val="24"/>
          <w:lang w:val="zh-CN"/>
        </w:rPr>
      </w:pPr>
      <w:r>
        <w:rPr>
          <w:rFonts w:ascii="Times New Roman" w:hAnsi="Times New Roman"/>
          <w:bCs/>
          <w:sz w:val="24"/>
          <w:lang w:val="zh-CN"/>
        </w:rPr>
        <w:t>按照以下第</w:t>
      </w:r>
      <w:r>
        <w:rPr>
          <w:rFonts w:ascii="Times New Roman" w:hAnsi="Times New Roman"/>
          <w:sz w:val="24"/>
          <w:szCs w:val="24"/>
          <w:u w:val="single"/>
        </w:rPr>
        <w:t xml:space="preserve"> (1) </w:t>
      </w:r>
      <w:r>
        <w:rPr>
          <w:rFonts w:ascii="Times New Roman" w:hAnsi="Times New Roman"/>
          <w:bCs/>
          <w:sz w:val="24"/>
          <w:lang w:val="zh-CN"/>
        </w:rPr>
        <w:t>方式确定履约保证收取方式。</w:t>
      </w:r>
    </w:p>
    <w:p w14:paraId="7A1BE690">
      <w:pPr>
        <w:spacing w:line="560" w:lineRule="exact"/>
        <w:ind w:firstLine="480"/>
        <w:rPr>
          <w:rFonts w:ascii="Times New Roman" w:hAnsi="Times New Roman"/>
          <w:bCs/>
          <w:sz w:val="24"/>
          <w:lang w:val="zh-CN"/>
        </w:rPr>
      </w:pPr>
      <w:r>
        <w:rPr>
          <w:rFonts w:ascii="Times New Roman" w:hAnsi="Times New Roman"/>
          <w:bCs/>
          <w:sz w:val="24"/>
          <w:lang w:val="zh-CN"/>
        </w:rPr>
        <w:t>(1)不收取履约保证金。</w:t>
      </w:r>
    </w:p>
    <w:p w14:paraId="77BAD70F">
      <w:pPr>
        <w:spacing w:line="560" w:lineRule="exact"/>
        <w:ind w:firstLine="480"/>
        <w:rPr>
          <w:rFonts w:ascii="Times New Roman" w:hAnsi="Times New Roman"/>
          <w:bCs/>
          <w:sz w:val="24"/>
          <w:lang w:val="zh-CN"/>
        </w:rPr>
      </w:pPr>
      <w:r>
        <w:rPr>
          <w:rFonts w:ascii="Times New Roman" w:hAnsi="Times New Roman"/>
          <w:bCs/>
          <w:sz w:val="24"/>
          <w:lang w:val="zh-CN"/>
        </w:rPr>
        <w:t>(2)履约保证金应在采购合同签订前提交，履约保证金的金额</w:t>
      </w:r>
      <w:r>
        <w:rPr>
          <w:rFonts w:ascii="Times New Roman" w:hAnsi="Times New Roman"/>
          <w:bCs/>
          <w:sz w:val="24"/>
          <w:u w:val="single"/>
        </w:rPr>
        <w:t xml:space="preserve"> </w:t>
      </w:r>
      <w:r>
        <w:rPr>
          <w:rFonts w:ascii="Times New Roman" w:hAnsi="Times New Roman"/>
          <w:sz w:val="24"/>
          <w:szCs w:val="24"/>
          <w:u w:val="single"/>
        </w:rPr>
        <w:t xml:space="preserve"> / </w:t>
      </w:r>
      <w:r>
        <w:rPr>
          <w:rFonts w:ascii="Times New Roman" w:hAnsi="Times New Roman"/>
          <w:bCs/>
          <w:sz w:val="24"/>
          <w:u w:val="single"/>
        </w:rPr>
        <w:t xml:space="preserve"> </w:t>
      </w:r>
      <w:r>
        <w:rPr>
          <w:rFonts w:ascii="Times New Roman" w:hAnsi="Times New Roman"/>
          <w:bCs/>
          <w:sz w:val="24"/>
          <w:lang w:val="zh-CN"/>
        </w:rPr>
        <w:t>：按采购合同总价的</w:t>
      </w:r>
      <w:r>
        <w:rPr>
          <w:rFonts w:ascii="Times New Roman" w:hAnsi="Times New Roman"/>
          <w:bCs/>
          <w:sz w:val="24"/>
          <w:u w:val="single"/>
        </w:rPr>
        <w:t xml:space="preserve"> </w:t>
      </w:r>
      <w:r>
        <w:rPr>
          <w:rFonts w:ascii="Times New Roman" w:hAnsi="Times New Roman"/>
          <w:sz w:val="24"/>
          <w:szCs w:val="24"/>
          <w:u w:val="single"/>
        </w:rPr>
        <w:t xml:space="preserve"> / </w:t>
      </w:r>
      <w:r>
        <w:rPr>
          <w:rFonts w:ascii="Times New Roman" w:hAnsi="Times New Roman"/>
          <w:bCs/>
          <w:sz w:val="24"/>
          <w:u w:val="single"/>
        </w:rPr>
        <w:t xml:space="preserve"> </w:t>
      </w:r>
      <w:r>
        <w:rPr>
          <w:rFonts w:ascii="Times New Roman" w:hAnsi="Times New Roman"/>
          <w:bCs/>
          <w:sz w:val="24"/>
          <w:lang w:val="zh-CN"/>
        </w:rPr>
        <w:t>%计取。除银行电汇、网上银行、数字人民币外，供应商还可选用银行保函、担保公司的保证担保或保险公司的保证保险等多种形式向采购人缴纳；</w:t>
      </w:r>
    </w:p>
    <w:p w14:paraId="15F156C3">
      <w:pPr>
        <w:spacing w:line="560" w:lineRule="exact"/>
        <w:ind w:firstLine="480"/>
        <w:rPr>
          <w:rFonts w:ascii="Times New Roman" w:hAnsi="Times New Roman"/>
          <w:bCs/>
          <w:sz w:val="24"/>
          <w:lang w:val="zh-CN"/>
        </w:rPr>
      </w:pPr>
      <w:r>
        <w:rPr>
          <w:rFonts w:ascii="Times New Roman" w:hAnsi="Times New Roman"/>
          <w:bCs/>
          <w:sz w:val="24"/>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39193694">
      <w:pPr>
        <w:spacing w:line="560" w:lineRule="exact"/>
        <w:ind w:firstLine="480"/>
        <w:rPr>
          <w:rFonts w:ascii="Times New Roman" w:hAnsi="Times New Roman"/>
          <w:bCs/>
          <w:sz w:val="24"/>
          <w:lang w:val="zh-CN"/>
        </w:rPr>
      </w:pPr>
      <w:r>
        <w:rPr>
          <w:rFonts w:ascii="Times New Roman" w:hAnsi="Times New Roman"/>
          <w:bCs/>
          <w:sz w:val="24"/>
          <w:lang w:val="zh-CN"/>
        </w:rPr>
        <w:t>履约保证金退还的条件：按以下第</w:t>
      </w:r>
      <w:r>
        <w:rPr>
          <w:rFonts w:ascii="Times New Roman" w:hAnsi="Times New Roman"/>
          <w:bCs/>
          <w:sz w:val="24"/>
          <w:u w:val="single"/>
          <w:lang w:val="zh-CN"/>
        </w:rPr>
        <w:t>/</w:t>
      </w:r>
      <w:r>
        <w:rPr>
          <w:rFonts w:ascii="Times New Roman" w:hAnsi="Times New Roman"/>
          <w:bCs/>
          <w:sz w:val="24"/>
          <w:lang w:val="zh-CN"/>
        </w:rPr>
        <w:t>种方式实行：</w:t>
      </w:r>
    </w:p>
    <w:p w14:paraId="7CFEBE93">
      <w:pPr>
        <w:spacing w:line="560" w:lineRule="exact"/>
        <w:ind w:firstLine="480"/>
        <w:rPr>
          <w:rFonts w:ascii="Times New Roman" w:hAnsi="Times New Roman"/>
          <w:bCs/>
          <w:sz w:val="24"/>
          <w:lang w:val="zh-CN"/>
        </w:rPr>
      </w:pPr>
      <w:r>
        <w:rPr>
          <w:rFonts w:ascii="Times New Roman" w:hAnsi="Times New Roman"/>
          <w:bCs/>
          <w:sz w:val="24"/>
          <w:lang w:val="zh-CN"/>
        </w:rPr>
        <w:t>a、货物类项目，项目验收合格，出具验收报告及履约保证金收据申请退付；</w:t>
      </w:r>
    </w:p>
    <w:p w14:paraId="5B28C032">
      <w:pPr>
        <w:spacing w:line="560" w:lineRule="exact"/>
        <w:ind w:firstLine="480"/>
        <w:rPr>
          <w:rFonts w:ascii="Times New Roman" w:hAnsi="Times New Roman"/>
          <w:bCs/>
          <w:sz w:val="24"/>
          <w:lang w:val="zh-CN"/>
        </w:rPr>
      </w:pPr>
      <w:r>
        <w:rPr>
          <w:rFonts w:ascii="Times New Roman" w:hAnsi="Times New Roman"/>
          <w:bCs/>
          <w:sz w:val="24"/>
          <w:lang w:val="zh-CN"/>
        </w:rPr>
        <w:t>b、服务类项目，项目履约期满评价合格，出具履约评价报告及履约保证金收据申请退付；</w:t>
      </w:r>
    </w:p>
    <w:p w14:paraId="1891537C">
      <w:pPr>
        <w:spacing w:line="560" w:lineRule="exact"/>
        <w:ind w:firstLine="480"/>
        <w:rPr>
          <w:rFonts w:ascii="Times New Roman" w:hAnsi="Times New Roman"/>
          <w:bCs/>
          <w:sz w:val="24"/>
          <w:lang w:val="zh-CN"/>
        </w:rPr>
      </w:pPr>
      <w:r>
        <w:rPr>
          <w:rFonts w:ascii="Times New Roman" w:hAnsi="Times New Roman"/>
          <w:bCs/>
          <w:sz w:val="24"/>
          <w:lang w:val="zh-CN"/>
        </w:rPr>
        <w:t>c、工程类项目，项目完工验收合格，出具完工证明及履约保证金收据申请退付；</w:t>
      </w:r>
    </w:p>
    <w:p w14:paraId="34A25C10">
      <w:pPr>
        <w:spacing w:line="560" w:lineRule="exact"/>
        <w:ind w:firstLine="480"/>
        <w:rPr>
          <w:rFonts w:ascii="Times New Roman" w:hAnsi="Times New Roman"/>
          <w:bCs/>
          <w:sz w:val="24"/>
          <w:lang w:val="zh-CN"/>
        </w:rPr>
      </w:pPr>
      <w:r>
        <w:rPr>
          <w:rFonts w:ascii="Times New Roman" w:hAnsi="Times New Roman"/>
          <w:bCs/>
          <w:sz w:val="24"/>
          <w:lang w:val="zh-CN"/>
        </w:rPr>
        <w:t>履约保证金退还时间：采购单位收到供应商退付申请后5个工作日内退还；</w:t>
      </w:r>
    </w:p>
    <w:p w14:paraId="6C0698ED">
      <w:pPr>
        <w:spacing w:line="560" w:lineRule="exact"/>
        <w:ind w:firstLine="480"/>
        <w:rPr>
          <w:rFonts w:ascii="Times New Roman" w:hAnsi="Times New Roman"/>
          <w:bCs/>
          <w:sz w:val="24"/>
          <w:lang w:val="zh-CN"/>
        </w:rPr>
      </w:pPr>
      <w:r>
        <w:rPr>
          <w:rFonts w:ascii="Times New Roman" w:hAnsi="Times New Roman"/>
          <w:bCs/>
          <w:sz w:val="24"/>
          <w:lang w:val="zh-CN"/>
        </w:rPr>
        <w:t>履约保证金不予退还情形：除不可抗力外，供应商不履行与采购人订立的采购合同的，履约保证金不予退还，给采购人造成的损失超过履约保证金数额的，还应当对超过部分予以赔偿；</w:t>
      </w:r>
    </w:p>
    <w:p w14:paraId="71157328">
      <w:pPr>
        <w:spacing w:line="560" w:lineRule="exact"/>
        <w:ind w:firstLine="480"/>
        <w:rPr>
          <w:rFonts w:ascii="Times New Roman" w:hAnsi="Times New Roman"/>
          <w:bCs/>
          <w:sz w:val="24"/>
          <w:lang w:val="zh-CN"/>
        </w:rPr>
      </w:pPr>
      <w:r>
        <w:rPr>
          <w:rFonts w:ascii="Times New Roman" w:hAnsi="Times New Roman"/>
          <w:bCs/>
          <w:sz w:val="24"/>
          <w:lang w:val="zh-CN"/>
        </w:rPr>
        <w:t>逾期退还履约保证金的违约责任：除应当退还履约保证金外，还应当按中国人民银行同期贷款基准利率上浮20％后的利率支付超期资金占用费，但因供应商自身原因导致无法及时退还的除外。</w:t>
      </w:r>
    </w:p>
    <w:p w14:paraId="5B277006">
      <w:pPr>
        <w:spacing w:line="560" w:lineRule="exact"/>
        <w:ind w:firstLine="600"/>
        <w:rPr>
          <w:rFonts w:ascii="Times New Roman" w:hAnsi="Times New Roman"/>
          <w:sz w:val="24"/>
          <w:szCs w:val="24"/>
        </w:rPr>
      </w:pPr>
      <w:r>
        <w:rPr>
          <w:rFonts w:ascii="Times New Roman" w:hAnsi="Times New Roman"/>
          <w:bCs/>
          <w:sz w:val="24"/>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0061B38A">
      <w:pPr>
        <w:keepNext/>
        <w:keepLines/>
        <w:spacing w:line="560" w:lineRule="exact"/>
        <w:ind w:firstLine="422"/>
        <w:outlineLvl w:val="3"/>
        <w:rPr>
          <w:rFonts w:ascii="Times New Roman" w:hAnsi="Times New Roman"/>
          <w:b/>
          <w:sz w:val="28"/>
          <w:szCs w:val="28"/>
        </w:rPr>
      </w:pPr>
      <w:r>
        <w:rPr>
          <w:rFonts w:ascii="Times New Roman" w:hAnsi="Times New Roman"/>
          <w:b/>
          <w:sz w:val="28"/>
          <w:szCs w:val="28"/>
        </w:rPr>
        <w:t>32、标的物的追加</w:t>
      </w:r>
    </w:p>
    <w:p w14:paraId="641A6F5A">
      <w:pPr>
        <w:spacing w:line="560" w:lineRule="exact"/>
        <w:ind w:firstLine="480"/>
        <w:rPr>
          <w:rFonts w:ascii="Times New Roman" w:hAnsi="Times New Roman"/>
          <w:sz w:val="24"/>
          <w:szCs w:val="24"/>
        </w:rPr>
      </w:pPr>
      <w:r>
        <w:rPr>
          <w:rFonts w:ascii="Times New Roman" w:hAnsi="Times New Roman"/>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9"/>
      <w:bookmarkEnd w:id="190"/>
      <w:bookmarkEnd w:id="191"/>
    </w:p>
    <w:p w14:paraId="5D9481B7">
      <w:pPr>
        <w:keepNext/>
        <w:keepLines/>
        <w:spacing w:line="560" w:lineRule="exact"/>
        <w:ind w:firstLine="422"/>
        <w:outlineLvl w:val="3"/>
        <w:rPr>
          <w:rFonts w:ascii="Times New Roman" w:hAnsi="Times New Roman"/>
          <w:b/>
          <w:sz w:val="28"/>
          <w:szCs w:val="28"/>
        </w:rPr>
      </w:pPr>
      <w:bookmarkStart w:id="192" w:name="_Toc513029242"/>
      <w:bookmarkStart w:id="193" w:name="_Toc120614221"/>
      <w:bookmarkStart w:id="194" w:name="_Toc16938558"/>
      <w:bookmarkStart w:id="195" w:name="_Toc479757207"/>
      <w:bookmarkStart w:id="196" w:name="_Toc20823314"/>
      <w:r>
        <w:rPr>
          <w:rFonts w:ascii="Times New Roman" w:hAnsi="Times New Roman"/>
          <w:b/>
          <w:sz w:val="28"/>
          <w:szCs w:val="28"/>
        </w:rPr>
        <w:t>33、政府采购履约资金扶持政策</w:t>
      </w:r>
    </w:p>
    <w:p w14:paraId="57D2EF00">
      <w:pPr>
        <w:spacing w:line="560" w:lineRule="exact"/>
        <w:ind w:firstLine="420"/>
        <w:rPr>
          <w:rFonts w:ascii="Times New Roman" w:hAnsi="Times New Roman"/>
          <w:szCs w:val="21"/>
        </w:rPr>
      </w:pPr>
      <w:r>
        <w:rPr>
          <w:rFonts w:ascii="Times New Roman" w:hAnsi="Times New Roman"/>
          <w:bCs/>
          <w:sz w:val="24"/>
        </w:rPr>
        <w:t>33.1依</w:t>
      </w:r>
      <w:r>
        <w:rPr>
          <w:rFonts w:ascii="Times New Roman" w:hAnsi="Times New Roman"/>
          <w:bCs/>
          <w:sz w:val="24"/>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272A7E60">
      <w:pPr>
        <w:keepNext/>
        <w:keepLines/>
        <w:spacing w:line="560" w:lineRule="exact"/>
        <w:ind w:firstLine="422"/>
        <w:outlineLvl w:val="3"/>
        <w:rPr>
          <w:rFonts w:ascii="Times New Roman" w:hAnsi="Times New Roman"/>
          <w:b/>
          <w:sz w:val="28"/>
          <w:szCs w:val="28"/>
        </w:rPr>
      </w:pPr>
      <w:r>
        <w:rPr>
          <w:rFonts w:ascii="Times New Roman" w:hAnsi="Times New Roman"/>
          <w:b/>
          <w:sz w:val="28"/>
          <w:szCs w:val="28"/>
        </w:rPr>
        <w:t>34、验收及付款</w:t>
      </w:r>
    </w:p>
    <w:p w14:paraId="12CA6146">
      <w:pPr>
        <w:spacing w:line="560" w:lineRule="exact"/>
        <w:ind w:firstLine="482"/>
        <w:rPr>
          <w:rFonts w:ascii="Times New Roman" w:hAnsi="Times New Roman"/>
          <w:bCs/>
          <w:sz w:val="24"/>
        </w:rPr>
      </w:pPr>
      <w:r>
        <w:rPr>
          <w:rFonts w:ascii="Times New Roman" w:hAnsi="Times New Roman"/>
          <w:bCs/>
          <w:sz w:val="24"/>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2FB8D6C">
      <w:pPr>
        <w:spacing w:line="560" w:lineRule="exact"/>
        <w:ind w:firstLine="482"/>
        <w:rPr>
          <w:rFonts w:ascii="Times New Roman" w:hAnsi="Times New Roman"/>
          <w:bCs/>
          <w:sz w:val="24"/>
        </w:rPr>
      </w:pPr>
      <w:r>
        <w:rPr>
          <w:rFonts w:ascii="Times New Roman" w:hAnsi="Times New Roman"/>
          <w:bCs/>
          <w:sz w:val="24"/>
        </w:rPr>
        <w:t>34.2采购人可以邀请参加本项目的其他供应商或者第三方机构参与验收。参与验收的供应商或者第三方机构的意见作为验收书的参考资料一并存档。</w:t>
      </w:r>
    </w:p>
    <w:p w14:paraId="4F3A73F8">
      <w:pPr>
        <w:spacing w:line="560" w:lineRule="exact"/>
        <w:ind w:firstLine="482"/>
        <w:rPr>
          <w:rFonts w:ascii="Times New Roman" w:hAnsi="Times New Roman"/>
          <w:bCs/>
          <w:sz w:val="24"/>
        </w:rPr>
      </w:pPr>
      <w:r>
        <w:rPr>
          <w:rFonts w:ascii="Times New Roman" w:hAnsi="Times New Roman"/>
          <w:bCs/>
          <w:sz w:val="24"/>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7C163ECC">
      <w:pPr>
        <w:spacing w:line="560" w:lineRule="exact"/>
        <w:ind w:firstLine="482"/>
        <w:rPr>
          <w:rFonts w:ascii="Times New Roman" w:hAnsi="Times New Roman"/>
          <w:sz w:val="24"/>
        </w:rPr>
      </w:pPr>
      <w:r>
        <w:rPr>
          <w:rFonts w:ascii="Times New Roman" w:hAnsi="Times New Roman"/>
          <w:bCs/>
          <w:sz w:val="24"/>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1EECBB3">
      <w:pPr>
        <w:keepNext/>
        <w:keepLines/>
        <w:spacing w:line="560" w:lineRule="exact"/>
        <w:ind w:firstLine="422"/>
        <w:outlineLvl w:val="3"/>
        <w:rPr>
          <w:rFonts w:ascii="Times New Roman" w:hAnsi="Times New Roman"/>
          <w:b/>
          <w:sz w:val="28"/>
          <w:szCs w:val="28"/>
        </w:rPr>
      </w:pPr>
      <w:r>
        <w:rPr>
          <w:rFonts w:ascii="Times New Roman" w:hAnsi="Times New Roman"/>
          <w:b/>
          <w:sz w:val="28"/>
          <w:szCs w:val="28"/>
        </w:rPr>
        <w:t>35、付款</w:t>
      </w:r>
    </w:p>
    <w:p w14:paraId="12529FB1">
      <w:pPr>
        <w:spacing w:line="560" w:lineRule="exact"/>
        <w:ind w:firstLine="482"/>
        <w:rPr>
          <w:rFonts w:ascii="Times New Roman" w:hAnsi="Times New Roman"/>
          <w:bCs/>
          <w:sz w:val="24"/>
        </w:rPr>
      </w:pPr>
      <w:r>
        <w:rPr>
          <w:rFonts w:ascii="Times New Roman" w:hAnsi="Times New Roman"/>
          <w:bCs/>
          <w:sz w:val="24"/>
        </w:rPr>
        <w:t xml:space="preserve"> </w:t>
      </w:r>
      <w:bookmarkStart w:id="197" w:name="EBec7f529f50594afd871ea9378869e456"/>
      <w:r>
        <w:rPr>
          <w:rFonts w:ascii="Times New Roman" w:hAnsi="Times New Roman"/>
          <w:bCs/>
          <w:sz w:val="24"/>
        </w:rPr>
        <w:t>按照以下</w:t>
      </w:r>
      <w:r>
        <w:rPr>
          <w:rFonts w:ascii="Times New Roman" w:hAnsi="Times New Roman"/>
          <w:bCs/>
          <w:sz w:val="24"/>
          <w:u w:val="single"/>
        </w:rPr>
        <w:t>（2）</w:t>
      </w:r>
      <w:r>
        <w:rPr>
          <w:rFonts w:ascii="Times New Roman" w:hAnsi="Times New Roman"/>
          <w:bCs/>
          <w:sz w:val="24"/>
        </w:rPr>
        <w:t>类项目确定的付款方式，采购人及时办理付款手续。对于满足合同约定支付条件的，自收到发票后10个工作日内将资金支付到合同约定的供应商账户或供应商数字人民币账户。</w:t>
      </w:r>
      <w:bookmarkEnd w:id="197"/>
    </w:p>
    <w:p w14:paraId="0479F580">
      <w:pPr>
        <w:spacing w:line="560" w:lineRule="exact"/>
        <w:ind w:firstLine="482"/>
        <w:rPr>
          <w:rFonts w:ascii="Times New Roman" w:hAnsi="Times New Roman"/>
          <w:bCs/>
          <w:sz w:val="24"/>
        </w:rPr>
      </w:pPr>
      <w:r>
        <w:rPr>
          <w:rFonts w:ascii="Times New Roman" w:hAnsi="Times New Roman"/>
          <w:bCs/>
          <w:sz w:val="24"/>
        </w:rPr>
        <w:t>（1）货物类项目</w:t>
      </w:r>
    </w:p>
    <w:p w14:paraId="0093615E">
      <w:pPr>
        <w:spacing w:line="560" w:lineRule="exact"/>
        <w:ind w:firstLine="482"/>
        <w:rPr>
          <w:rFonts w:ascii="Times New Roman" w:hAnsi="Times New Roman"/>
          <w:bCs/>
          <w:sz w:val="24"/>
        </w:rPr>
      </w:pPr>
      <w:r>
        <w:rPr>
          <w:rFonts w:ascii="Times New Roman" w:hAnsi="Times New Roman"/>
          <w:bCs/>
          <w:sz w:val="24"/>
        </w:rPr>
        <w:t>预付款：合同金额的</w:t>
      </w:r>
      <w:r>
        <w:rPr>
          <w:rFonts w:ascii="Times New Roman" w:hAnsi="Times New Roman"/>
          <w:bCs/>
          <w:sz w:val="24"/>
          <w:u w:val="single"/>
        </w:rPr>
        <w:t xml:space="preserve"> / </w:t>
      </w:r>
      <w:r>
        <w:rPr>
          <w:rFonts w:ascii="Times New Roman" w:hAnsi="Times New Roman"/>
          <w:bCs/>
          <w:sz w:val="24"/>
        </w:rPr>
        <w:t xml:space="preserve">%，合同签订后按规定支付； </w:t>
      </w:r>
    </w:p>
    <w:p w14:paraId="314BB1F0">
      <w:pPr>
        <w:spacing w:line="560" w:lineRule="exact"/>
        <w:ind w:firstLine="482"/>
        <w:rPr>
          <w:rFonts w:ascii="Times New Roman" w:hAnsi="Times New Roman"/>
          <w:bCs/>
          <w:sz w:val="24"/>
          <w:u w:val="single"/>
        </w:rPr>
      </w:pPr>
      <w:r>
        <w:rPr>
          <w:rFonts w:ascii="Times New Roman" w:hAnsi="Times New Roman"/>
          <w:bCs/>
          <w:sz w:val="24"/>
        </w:rPr>
        <w:t>进度款：</w:t>
      </w:r>
      <w:bookmarkStart w:id="198" w:name="EBf1f8b954f7504a2cb44cef25707c76a6"/>
      <w:bookmarkEnd w:id="198"/>
      <w:r>
        <w:rPr>
          <w:rFonts w:ascii="Times New Roman" w:hAnsi="Times New Roman"/>
          <w:bCs/>
          <w:sz w:val="24"/>
          <w:u w:val="single"/>
        </w:rPr>
        <w:t xml:space="preserve">  /    。</w:t>
      </w:r>
    </w:p>
    <w:p w14:paraId="4513C91E">
      <w:pPr>
        <w:spacing w:line="560" w:lineRule="exact"/>
        <w:ind w:firstLine="482"/>
        <w:rPr>
          <w:rFonts w:ascii="Times New Roman" w:hAnsi="Times New Roman"/>
          <w:bCs/>
          <w:sz w:val="24"/>
        </w:rPr>
      </w:pPr>
      <w:r>
        <w:rPr>
          <w:rFonts w:ascii="Times New Roman" w:hAnsi="Times New Roman"/>
          <w:bCs/>
          <w:sz w:val="24"/>
        </w:rPr>
        <w:t>（2）服务类项目</w:t>
      </w:r>
    </w:p>
    <w:p w14:paraId="18049C8C">
      <w:pPr>
        <w:spacing w:line="560" w:lineRule="exact"/>
        <w:ind w:firstLine="482"/>
        <w:rPr>
          <w:rFonts w:ascii="Times New Roman" w:hAnsi="Times New Roman" w:eastAsia="仿宋_GB2312" w:cs="仿宋_GB2312"/>
          <w:sz w:val="24"/>
          <w:szCs w:val="21"/>
        </w:rPr>
      </w:pPr>
      <w:r>
        <w:rPr>
          <w:rFonts w:hint="eastAsia" w:ascii="Times New Roman" w:hAnsi="Times New Roman"/>
          <w:bCs/>
          <w:sz w:val="24"/>
          <w:szCs w:val="21"/>
        </w:rPr>
        <w:t>预付款：合同金额的</w:t>
      </w:r>
      <w:bookmarkStart w:id="199" w:name="EBe373fd05aa034cc3a1a41aadf8509e01"/>
      <w:r>
        <w:rPr>
          <w:rFonts w:ascii="Times New Roman" w:hAnsi="Times New Roman"/>
          <w:bCs/>
          <w:sz w:val="24"/>
          <w:szCs w:val="21"/>
        </w:rPr>
        <w:t>10</w:t>
      </w:r>
      <w:r>
        <w:rPr>
          <w:rFonts w:hint="eastAsia" w:ascii="Times New Roman" w:hAnsi="Times New Roman"/>
          <w:bCs/>
          <w:sz w:val="24"/>
          <w:szCs w:val="21"/>
        </w:rPr>
        <w:t xml:space="preserve"> %</w:t>
      </w:r>
      <w:bookmarkEnd w:id="199"/>
      <w:r>
        <w:rPr>
          <w:rFonts w:hint="eastAsia" w:ascii="Times New Roman" w:hAnsi="Times New Roman"/>
          <w:bCs/>
          <w:sz w:val="24"/>
          <w:szCs w:val="21"/>
        </w:rPr>
        <w:t>，合同签订后按规定支付；</w:t>
      </w:r>
      <w:r>
        <w:rPr>
          <w:rFonts w:hint="eastAsia" w:ascii="Times New Roman" w:hAnsi="Times New Roman" w:eastAsia="仿宋_GB2312" w:cs="仿宋_GB2312"/>
          <w:sz w:val="24"/>
          <w:szCs w:val="21"/>
        </w:rPr>
        <w:t xml:space="preserve"> </w:t>
      </w:r>
    </w:p>
    <w:p w14:paraId="0E7AA0A9">
      <w:pPr>
        <w:spacing w:line="560" w:lineRule="exact"/>
        <w:ind w:firstLine="482"/>
        <w:rPr>
          <w:rFonts w:ascii="Times New Roman" w:hAnsi="Times New Roman"/>
          <w:bCs/>
          <w:sz w:val="24"/>
          <w:szCs w:val="21"/>
        </w:rPr>
      </w:pPr>
      <w:r>
        <w:rPr>
          <w:rFonts w:hint="eastAsia" w:ascii="Times New Roman" w:hAnsi="Times New Roman"/>
          <w:bCs/>
          <w:sz w:val="24"/>
          <w:szCs w:val="21"/>
        </w:rPr>
        <w:t>进度款：</w:t>
      </w:r>
      <w:bookmarkStart w:id="200" w:name="EB5e42c1c1be704ecfa15d9f8f317e8f12"/>
      <w:bookmarkEnd w:id="200"/>
      <w:r>
        <w:rPr>
          <w:rFonts w:hint="eastAsia" w:ascii="宋体" w:hAnsi="宋体" w:cs="宋体"/>
          <w:bCs/>
          <w:sz w:val="24"/>
          <w:szCs w:val="24"/>
        </w:rPr>
        <w:t>完成土样样品检测后</w:t>
      </w:r>
      <w:r>
        <w:rPr>
          <w:rFonts w:ascii="宋体" w:hAnsi="宋体" w:cs="宋体"/>
          <w:bCs/>
          <w:sz w:val="24"/>
          <w:szCs w:val="24"/>
        </w:rPr>
        <w:t>支付合同总价的60％</w:t>
      </w:r>
      <w:r>
        <w:rPr>
          <w:rFonts w:hint="eastAsia" w:ascii="Times New Roman" w:hAnsi="Times New Roman"/>
          <w:bCs/>
          <w:sz w:val="24"/>
          <w:szCs w:val="21"/>
        </w:rPr>
        <w:t>。</w:t>
      </w:r>
    </w:p>
    <w:p w14:paraId="532A9F3C">
      <w:pPr>
        <w:spacing w:line="560" w:lineRule="exact"/>
        <w:ind w:firstLine="482"/>
        <w:rPr>
          <w:rFonts w:ascii="Times New Roman" w:hAnsi="Times New Roman"/>
          <w:bCs/>
          <w:sz w:val="24"/>
          <w:szCs w:val="21"/>
        </w:rPr>
      </w:pPr>
      <w:r>
        <w:rPr>
          <w:rFonts w:ascii="宋体" w:hAnsi="宋体" w:cs="宋体"/>
          <w:bCs/>
          <w:sz w:val="24"/>
          <w:szCs w:val="24"/>
        </w:rPr>
        <w:t>最终付款：</w:t>
      </w:r>
      <w:r>
        <w:rPr>
          <w:rFonts w:hint="eastAsia" w:ascii="宋体" w:hAnsi="宋体" w:cs="宋体"/>
          <w:bCs/>
          <w:sz w:val="24"/>
          <w:szCs w:val="24"/>
        </w:rPr>
        <w:t>项目完成并经省级专家评定后付清余款</w:t>
      </w:r>
      <w:r>
        <w:rPr>
          <w:rFonts w:ascii="宋体" w:hAnsi="宋体" w:cs="宋体"/>
          <w:bCs/>
          <w:sz w:val="24"/>
          <w:szCs w:val="24"/>
        </w:rPr>
        <w:t>。</w:t>
      </w:r>
      <w:r>
        <w:rPr>
          <w:rFonts w:hint="eastAsia" w:ascii="Times New Roman" w:hAnsi="Times New Roman"/>
          <w:bCs/>
          <w:sz w:val="24"/>
          <w:szCs w:val="21"/>
        </w:rPr>
        <w:t xml:space="preserve"> </w:t>
      </w:r>
    </w:p>
    <w:p w14:paraId="2C9B6C07">
      <w:pPr>
        <w:spacing w:line="560" w:lineRule="exact"/>
        <w:ind w:firstLine="482"/>
        <w:rPr>
          <w:rFonts w:ascii="Times New Roman" w:hAnsi="Times New Roman"/>
          <w:bCs/>
          <w:sz w:val="24"/>
          <w:szCs w:val="21"/>
        </w:rPr>
      </w:pPr>
      <w:r>
        <w:rPr>
          <w:rFonts w:hint="eastAsia" w:ascii="Times New Roman" w:hAnsi="Times New Roman"/>
          <w:bCs/>
          <w:sz w:val="24"/>
          <w:szCs w:val="21"/>
        </w:rPr>
        <w:t>注：在签订合同时，中标人明确表示无需预付款或者主动要求降低预付款比例的金额，采购人可不适用预付款规定。合同款可以采用数字人民币形式支付。</w:t>
      </w:r>
    </w:p>
    <w:p w14:paraId="6608FE22">
      <w:pPr>
        <w:numPr>
          <w:ilvl w:val="0"/>
          <w:numId w:val="5"/>
        </w:numPr>
        <w:spacing w:line="560" w:lineRule="exact"/>
        <w:ind w:firstLine="482"/>
        <w:rPr>
          <w:rFonts w:ascii="Times New Roman" w:hAnsi="Times New Roman"/>
          <w:bCs/>
          <w:sz w:val="24"/>
        </w:rPr>
      </w:pPr>
      <w:r>
        <w:rPr>
          <w:rFonts w:ascii="Times New Roman" w:hAnsi="Times New Roman"/>
          <w:bCs/>
          <w:sz w:val="24"/>
        </w:rPr>
        <w:t>工程类项目</w:t>
      </w:r>
    </w:p>
    <w:p w14:paraId="01ADBA26">
      <w:pPr>
        <w:spacing w:line="560" w:lineRule="exact"/>
        <w:ind w:firstLine="482"/>
        <w:rPr>
          <w:rFonts w:ascii="Times New Roman" w:hAnsi="Times New Roman"/>
          <w:sz w:val="24"/>
        </w:rPr>
      </w:pPr>
      <w:r>
        <w:rPr>
          <w:rFonts w:ascii="Times New Roman" w:hAnsi="Times New Roman"/>
          <w:bCs/>
          <w:sz w:val="24"/>
        </w:rPr>
        <w:t>预付款：合同金额的</w:t>
      </w:r>
      <w:r>
        <w:rPr>
          <w:rFonts w:ascii="Times New Roman" w:hAnsi="Times New Roman"/>
          <w:bCs/>
          <w:sz w:val="24"/>
          <w:u w:val="single"/>
        </w:rPr>
        <w:t xml:space="preserve"> /  </w:t>
      </w:r>
      <w:r>
        <w:rPr>
          <w:rFonts w:ascii="Times New Roman" w:hAnsi="Times New Roman"/>
          <w:bCs/>
          <w:sz w:val="24"/>
        </w:rPr>
        <w:t>%，合同签订后按规定支付；</w:t>
      </w:r>
      <w:r>
        <w:rPr>
          <w:rFonts w:ascii="Times New Roman" w:hAnsi="Times New Roman"/>
          <w:sz w:val="24"/>
        </w:rPr>
        <w:t xml:space="preserve"> </w:t>
      </w:r>
    </w:p>
    <w:p w14:paraId="1E5A602D">
      <w:pPr>
        <w:spacing w:line="560" w:lineRule="exact"/>
        <w:ind w:firstLine="482"/>
        <w:rPr>
          <w:rFonts w:ascii="Times New Roman" w:hAnsi="Times New Roman"/>
          <w:bCs/>
          <w:sz w:val="24"/>
        </w:rPr>
      </w:pPr>
      <w:r>
        <w:rPr>
          <w:rFonts w:ascii="Times New Roman" w:hAnsi="Times New Roman"/>
          <w:bCs/>
          <w:sz w:val="24"/>
        </w:rPr>
        <w:t>进度款：</w:t>
      </w:r>
      <w:r>
        <w:rPr>
          <w:rFonts w:ascii="Times New Roman" w:hAnsi="Times New Roman"/>
          <w:bCs/>
          <w:sz w:val="24"/>
          <w:u w:val="single"/>
        </w:rPr>
        <w:t xml:space="preserve">  /    。</w:t>
      </w:r>
    </w:p>
    <w:p w14:paraId="568202B6">
      <w:pPr>
        <w:spacing w:line="560" w:lineRule="exact"/>
        <w:rPr>
          <w:rFonts w:ascii="Times New Roman" w:hAnsi="Times New Roman"/>
          <w:bCs/>
          <w:sz w:val="24"/>
          <w:szCs w:val="24"/>
        </w:rPr>
      </w:pPr>
      <w:bookmarkStart w:id="201" w:name="EB11398ec6946f4019bc4c35221e27b04f"/>
      <w:r>
        <w:rPr>
          <w:rFonts w:ascii="Times New Roman" w:hAnsi="Times New Roman"/>
          <w:bCs/>
          <w:sz w:val="24"/>
        </w:rPr>
        <w:t>注：在签订合同时，成交人明确表示无需预付款或者主动要求降低预付款比例的金额，采购人可不适用预付款规定。</w:t>
      </w:r>
      <w:bookmarkEnd w:id="201"/>
    </w:p>
    <w:p w14:paraId="1728621D">
      <w:pPr>
        <w:keepNext/>
        <w:jc w:val="center"/>
        <w:outlineLvl w:val="0"/>
        <w:rPr>
          <w:rFonts w:ascii="Times New Roman" w:hAnsi="Times New Roman"/>
          <w:bCs/>
          <w:sz w:val="44"/>
          <w:szCs w:val="28"/>
        </w:rPr>
      </w:pPr>
      <w:r>
        <w:rPr>
          <w:rFonts w:ascii="Times New Roman" w:hAnsi="Times New Roman"/>
          <w:bCs/>
          <w:sz w:val="44"/>
          <w:szCs w:val="28"/>
        </w:rPr>
        <w:br w:type="page" w:clear="all"/>
      </w:r>
      <w:bookmarkStart w:id="202" w:name="_Toc19018"/>
      <w:r>
        <w:rPr>
          <w:rFonts w:ascii="Times New Roman" w:hAnsi="Times New Roman"/>
          <w:b/>
          <w:sz w:val="44"/>
          <w:szCs w:val="44"/>
        </w:rPr>
        <w:t>第三章  合同</w:t>
      </w:r>
      <w:bookmarkEnd w:id="192"/>
      <w:bookmarkEnd w:id="193"/>
      <w:bookmarkEnd w:id="194"/>
      <w:bookmarkEnd w:id="195"/>
      <w:bookmarkEnd w:id="196"/>
      <w:r>
        <w:rPr>
          <w:rFonts w:ascii="Times New Roman" w:hAnsi="Times New Roman"/>
          <w:b/>
          <w:sz w:val="44"/>
          <w:szCs w:val="44"/>
        </w:rPr>
        <w:t>文本</w:t>
      </w:r>
      <w:bookmarkEnd w:id="202"/>
    </w:p>
    <w:p w14:paraId="5E919FDF">
      <w:pPr>
        <w:pStyle w:val="308"/>
        <w:jc w:val="center"/>
        <w:rPr>
          <w:rFonts w:ascii="宋体" w:hAnsi="宋体"/>
          <w:sz w:val="48"/>
          <w:szCs w:val="48"/>
        </w:rPr>
      </w:pPr>
      <w:bookmarkStart w:id="203" w:name="_Toc20823315"/>
      <w:bookmarkEnd w:id="203"/>
      <w:bookmarkStart w:id="204" w:name="_Toc16938559"/>
      <w:bookmarkEnd w:id="204"/>
      <w:bookmarkStart w:id="205" w:name="_Toc513029243"/>
      <w:bookmarkEnd w:id="205"/>
      <w:bookmarkStart w:id="206" w:name="_Hlt16619350"/>
      <w:bookmarkStart w:id="207" w:name="_Toc20823346"/>
      <w:bookmarkStart w:id="208" w:name="_Toc16938590"/>
      <w:bookmarkStart w:id="209" w:name="_Toc120614244"/>
      <w:bookmarkStart w:id="210" w:name="_Toc462564139"/>
      <w:bookmarkStart w:id="211" w:name="_Toc479757211"/>
    </w:p>
    <w:p w14:paraId="48E4E324">
      <w:pPr>
        <w:pStyle w:val="308"/>
        <w:jc w:val="center"/>
        <w:rPr>
          <w:rFonts w:ascii="宋体" w:hAnsi="宋体"/>
          <w:sz w:val="48"/>
          <w:szCs w:val="48"/>
        </w:rPr>
      </w:pPr>
      <w:r>
        <w:rPr>
          <w:rFonts w:hint="eastAsia" w:ascii="宋体" w:hAnsi="宋体"/>
          <w:sz w:val="48"/>
          <w:szCs w:val="48"/>
        </w:rPr>
        <w:t>2026年度泗阳县补充耕地质量评定项目</w:t>
      </w:r>
    </w:p>
    <w:p w14:paraId="5F54A1F3">
      <w:pPr>
        <w:pStyle w:val="308"/>
        <w:jc w:val="center"/>
        <w:rPr>
          <w:sz w:val="72"/>
          <w:szCs w:val="72"/>
        </w:rPr>
      </w:pPr>
      <w:r>
        <w:rPr>
          <w:rFonts w:hint="eastAsia" w:ascii="宋体" w:hAnsi="宋体"/>
          <w:sz w:val="48"/>
          <w:szCs w:val="48"/>
        </w:rPr>
        <w:t>（分包</w:t>
      </w:r>
      <w:r>
        <w:rPr>
          <w:rFonts w:hint="eastAsia" w:ascii="宋体" w:hAnsi="宋体"/>
          <w:sz w:val="48"/>
          <w:szCs w:val="48"/>
          <w:u w:val="single"/>
        </w:rPr>
        <w:t xml:space="preserve">   </w:t>
      </w:r>
      <w:r>
        <w:rPr>
          <w:rFonts w:hint="eastAsia" w:ascii="宋体" w:hAnsi="宋体"/>
          <w:sz w:val="48"/>
          <w:szCs w:val="48"/>
        </w:rPr>
        <w:t>）</w:t>
      </w:r>
    </w:p>
    <w:p w14:paraId="79427BBB">
      <w:pPr>
        <w:pStyle w:val="308"/>
        <w:jc w:val="center"/>
        <w:rPr>
          <w:sz w:val="72"/>
          <w:szCs w:val="72"/>
        </w:rPr>
      </w:pPr>
    </w:p>
    <w:p w14:paraId="1D59C7E4">
      <w:pPr>
        <w:pStyle w:val="308"/>
        <w:jc w:val="center"/>
        <w:rPr>
          <w:sz w:val="72"/>
          <w:szCs w:val="72"/>
        </w:rPr>
      </w:pPr>
      <w:r>
        <w:rPr>
          <w:sz w:val="72"/>
          <w:szCs w:val="72"/>
        </w:rPr>
        <w:t>政府采购合同</w:t>
      </w:r>
    </w:p>
    <w:p w14:paraId="7EF82107">
      <w:pPr>
        <w:pStyle w:val="308"/>
        <w:jc w:val="center"/>
        <w:rPr>
          <w:sz w:val="36"/>
          <w:szCs w:val="72"/>
        </w:rPr>
      </w:pPr>
    </w:p>
    <w:p w14:paraId="255C8670">
      <w:pPr>
        <w:pStyle w:val="308"/>
        <w:rPr>
          <w:sz w:val="72"/>
          <w:szCs w:val="72"/>
        </w:rPr>
      </w:pPr>
    </w:p>
    <w:p w14:paraId="39827FD1">
      <w:pPr>
        <w:pStyle w:val="308"/>
        <w:rPr>
          <w:sz w:val="72"/>
          <w:szCs w:val="72"/>
        </w:rPr>
      </w:pPr>
    </w:p>
    <w:p w14:paraId="4C668CF4">
      <w:pPr>
        <w:pStyle w:val="308"/>
      </w:pPr>
    </w:p>
    <w:p w14:paraId="5E50DC07">
      <w:pPr>
        <w:pStyle w:val="334"/>
        <w:spacing w:line="500" w:lineRule="exact"/>
        <w:ind w:firstLine="1280"/>
        <w:rPr>
          <w:rFonts w:ascii="宋体" w:hAnsi="宋体"/>
          <w:b/>
          <w:sz w:val="32"/>
          <w:u w:val="single"/>
        </w:rPr>
      </w:pPr>
      <w:r>
        <w:rPr>
          <w:rFonts w:hint="eastAsia" w:ascii="宋体" w:hAnsi="宋体"/>
          <w:sz w:val="32"/>
        </w:rPr>
        <w:t>采购单位：</w:t>
      </w:r>
      <w:r>
        <w:rPr>
          <w:rFonts w:hint="eastAsia" w:ascii="宋体" w:hAnsi="宋体"/>
          <w:b/>
          <w:sz w:val="32"/>
          <w:u w:val="single"/>
        </w:rPr>
        <w:t xml:space="preserve">   </w:t>
      </w:r>
      <w:r>
        <w:rPr>
          <w:rFonts w:hint="eastAsia" w:ascii="宋体" w:hAnsi="宋体"/>
          <w:sz w:val="32"/>
          <w:u w:val="single"/>
        </w:rPr>
        <w:t>泗阳县农业技术推广中心</w:t>
      </w:r>
      <w:r>
        <w:rPr>
          <w:rFonts w:hint="eastAsia" w:ascii="宋体" w:hAnsi="宋体"/>
          <w:b/>
          <w:sz w:val="32"/>
          <w:u w:val="single"/>
        </w:rPr>
        <w:t xml:space="preserve">   </w:t>
      </w:r>
    </w:p>
    <w:p w14:paraId="29EF5929">
      <w:pPr>
        <w:pStyle w:val="334"/>
        <w:spacing w:line="500" w:lineRule="exact"/>
        <w:ind w:firstLine="640"/>
        <w:rPr>
          <w:rFonts w:ascii="宋体" w:hAnsi="宋体"/>
          <w:sz w:val="32"/>
        </w:rPr>
      </w:pPr>
    </w:p>
    <w:p w14:paraId="38B912CF">
      <w:pPr>
        <w:pStyle w:val="334"/>
        <w:spacing w:line="500" w:lineRule="exact"/>
        <w:ind w:firstLine="1280"/>
        <w:rPr>
          <w:rFonts w:ascii="宋体" w:hAnsi="宋体"/>
          <w:sz w:val="32"/>
          <w:u w:val="single"/>
        </w:rPr>
      </w:pPr>
      <w:r>
        <w:rPr>
          <w:rFonts w:hint="eastAsia" w:ascii="宋体" w:hAnsi="宋体"/>
          <w:sz w:val="32"/>
        </w:rPr>
        <w:t>中标供应商：</w:t>
      </w:r>
      <w:r>
        <w:rPr>
          <w:rFonts w:hint="eastAsia" w:ascii="宋体" w:hAnsi="宋体"/>
          <w:sz w:val="32"/>
          <w:u w:val="single"/>
        </w:rPr>
        <w:t xml:space="preserve"> </w:t>
      </w:r>
      <w:r>
        <w:rPr>
          <w:rFonts w:ascii="宋体" w:hAnsi="宋体"/>
          <w:sz w:val="32"/>
          <w:u w:val="single"/>
        </w:rPr>
        <w:t xml:space="preserve">                        </w:t>
      </w:r>
      <w:r>
        <w:rPr>
          <w:rFonts w:hint="eastAsia" w:ascii="宋体" w:hAnsi="宋体"/>
          <w:sz w:val="32"/>
          <w:u w:val="single"/>
        </w:rPr>
        <w:t xml:space="preserve">  </w:t>
      </w:r>
    </w:p>
    <w:p w14:paraId="017429B8">
      <w:pPr>
        <w:pStyle w:val="334"/>
        <w:spacing w:line="500" w:lineRule="exact"/>
        <w:ind w:firstLine="640"/>
        <w:rPr>
          <w:rFonts w:ascii="宋体" w:hAnsi="宋体"/>
          <w:sz w:val="32"/>
          <w:u w:val="single"/>
        </w:rPr>
      </w:pPr>
    </w:p>
    <w:p w14:paraId="25DFCA03">
      <w:pPr>
        <w:pStyle w:val="334"/>
        <w:spacing w:line="500" w:lineRule="exact"/>
        <w:ind w:firstLine="640"/>
        <w:jc w:val="center"/>
        <w:rPr>
          <w:rFonts w:ascii="宋体" w:hAnsi="宋体"/>
          <w:sz w:val="32"/>
        </w:rPr>
      </w:pPr>
      <w:r>
        <w:rPr>
          <w:rFonts w:hint="eastAsia" w:ascii="宋体" w:hAnsi="宋体"/>
          <w:sz w:val="32"/>
          <w:u w:val="single"/>
        </w:rPr>
        <w:t xml:space="preserve">   年 </w:t>
      </w:r>
      <w:r>
        <w:rPr>
          <w:rFonts w:ascii="宋体" w:hAnsi="宋体"/>
          <w:sz w:val="32"/>
          <w:u w:val="single"/>
        </w:rPr>
        <w:t xml:space="preserve"> </w:t>
      </w:r>
      <w:r>
        <w:rPr>
          <w:rFonts w:hint="eastAsia" w:ascii="宋体" w:hAnsi="宋体"/>
          <w:sz w:val="32"/>
          <w:u w:val="single"/>
        </w:rPr>
        <w:t>月   日</w:t>
      </w:r>
    </w:p>
    <w:p w14:paraId="7AE91291"/>
    <w:p w14:paraId="7F21C1E7">
      <w:pPr>
        <w:jc w:val="center"/>
        <w:rPr>
          <w:rFonts w:hAnsi="宋体"/>
          <w:sz w:val="32"/>
        </w:rPr>
      </w:pPr>
    </w:p>
    <w:p w14:paraId="509AF047">
      <w:pPr>
        <w:jc w:val="center"/>
        <w:rPr>
          <w:rFonts w:hAnsi="宋体"/>
          <w:sz w:val="32"/>
        </w:rPr>
      </w:pPr>
    </w:p>
    <w:p w14:paraId="19F08490">
      <w:pPr>
        <w:jc w:val="center"/>
        <w:rPr>
          <w:rFonts w:hAnsi="宋体"/>
          <w:sz w:val="32"/>
        </w:rPr>
      </w:pPr>
      <w:r>
        <w:rPr>
          <w:rFonts w:hint="eastAsia" w:hAnsi="宋体"/>
          <w:sz w:val="32"/>
        </w:rPr>
        <w:br w:type="page" w:clear="all"/>
      </w:r>
      <w:r>
        <w:rPr>
          <w:rFonts w:hint="eastAsia" w:hAnsi="宋体"/>
          <w:sz w:val="32"/>
        </w:rPr>
        <w:t>2026年度泗阳县补充耕地质量评定项目（分包</w:t>
      </w:r>
      <w:r>
        <w:rPr>
          <w:rFonts w:hint="eastAsia" w:hAnsi="宋体"/>
          <w:sz w:val="32"/>
          <w:u w:val="single"/>
        </w:rPr>
        <w:t xml:space="preserve">    </w:t>
      </w:r>
      <w:r>
        <w:rPr>
          <w:rFonts w:hint="eastAsia" w:hAnsi="宋体"/>
          <w:sz w:val="32"/>
        </w:rPr>
        <w:t>）</w:t>
      </w:r>
    </w:p>
    <w:p w14:paraId="106691F6">
      <w:pPr>
        <w:jc w:val="center"/>
        <w:rPr>
          <w:rFonts w:hAnsi="宋体"/>
          <w:sz w:val="32"/>
        </w:rPr>
      </w:pPr>
      <w:r>
        <w:rPr>
          <w:rFonts w:hint="eastAsia" w:hAnsi="宋体"/>
          <w:sz w:val="32"/>
        </w:rPr>
        <w:t>政府采购合同</w:t>
      </w:r>
    </w:p>
    <w:p w14:paraId="24AA7F1B">
      <w:pPr>
        <w:pStyle w:val="335"/>
        <w:spacing w:line="360" w:lineRule="auto"/>
        <w:outlineLvl w:val="4"/>
        <w:rPr>
          <w:rFonts w:ascii="宋体" w:hAnsi="宋体" w:cs="仿宋_GB2312"/>
          <w:sz w:val="24"/>
          <w:szCs w:val="24"/>
        </w:rPr>
      </w:pPr>
      <w:r>
        <w:rPr>
          <w:rFonts w:hint="eastAsia" w:ascii="宋体" w:hAnsi="宋体" w:cs="仿宋_GB2312"/>
          <w:sz w:val="24"/>
          <w:szCs w:val="24"/>
        </w:rPr>
        <w:t>采购单位（全称）：</w:t>
      </w:r>
      <w:r>
        <w:rPr>
          <w:rFonts w:hint="eastAsia" w:ascii="宋体" w:hAnsi="宋体" w:cs="仿宋_GB2312"/>
          <w:sz w:val="24"/>
          <w:szCs w:val="24"/>
          <w:u w:val="single"/>
        </w:rPr>
        <w:t xml:space="preserve">                </w:t>
      </w:r>
      <w:r>
        <w:rPr>
          <w:rFonts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cs="仿宋_GB2312"/>
          <w:sz w:val="24"/>
          <w:szCs w:val="24"/>
        </w:rPr>
        <w:t>（简称甲方）</w:t>
      </w:r>
    </w:p>
    <w:p w14:paraId="537267E6">
      <w:pPr>
        <w:pStyle w:val="335"/>
        <w:spacing w:line="360" w:lineRule="auto"/>
        <w:outlineLvl w:val="4"/>
        <w:rPr>
          <w:rFonts w:ascii="宋体" w:hAnsi="宋体" w:cs="仿宋_GB2312"/>
          <w:sz w:val="24"/>
          <w:szCs w:val="24"/>
        </w:rPr>
      </w:pPr>
      <w:r>
        <w:rPr>
          <w:rFonts w:hint="eastAsia" w:ascii="宋体" w:hAnsi="宋体" w:cs="仿宋_GB2312"/>
          <w:sz w:val="24"/>
          <w:szCs w:val="24"/>
        </w:rPr>
        <w:t>中标供应商（全称）：</w:t>
      </w:r>
      <w:r>
        <w:rPr>
          <w:rFonts w:hint="eastAsia" w:ascii="宋体" w:hAnsi="宋体" w:cs="仿宋_GB2312"/>
          <w:b/>
          <w:bCs/>
          <w:sz w:val="24"/>
          <w:szCs w:val="24"/>
          <w:u w:val="single"/>
        </w:rPr>
        <w:t xml:space="preserve"> </w:t>
      </w:r>
      <w:r>
        <w:rPr>
          <w:rFonts w:hint="eastAsia" w:ascii="宋体" w:hAnsi="宋体" w:cs="仿宋_GB2312"/>
          <w:bCs/>
          <w:sz w:val="24"/>
          <w:szCs w:val="24"/>
          <w:u w:val="single"/>
        </w:rPr>
        <w:t xml:space="preserve"> </w:t>
      </w:r>
      <w:r>
        <w:rPr>
          <w:rFonts w:ascii="宋体" w:hAnsi="宋体" w:cs="仿宋_GB2312"/>
          <w:bCs/>
          <w:sz w:val="24"/>
          <w:szCs w:val="24"/>
          <w:u w:val="single"/>
        </w:rPr>
        <w:t xml:space="preserve"> </w:t>
      </w:r>
      <w:r>
        <w:rPr>
          <w:rFonts w:hint="eastAsia" w:ascii="宋体" w:hAnsi="宋体" w:cs="仿宋_GB2312"/>
          <w:bCs/>
          <w:sz w:val="24"/>
          <w:szCs w:val="24"/>
          <w:u w:val="single"/>
        </w:rPr>
        <w:t xml:space="preserve"> </w:t>
      </w:r>
      <w:r>
        <w:rPr>
          <w:rFonts w:ascii="宋体" w:hAnsi="宋体" w:cs="仿宋_GB2312"/>
          <w:bCs/>
          <w:sz w:val="24"/>
          <w:szCs w:val="24"/>
          <w:u w:val="single"/>
        </w:rPr>
        <w:t xml:space="preserve">           </w:t>
      </w:r>
      <w:r>
        <w:rPr>
          <w:rFonts w:hint="eastAsia" w:ascii="宋体" w:hAnsi="宋体" w:cs="仿宋_GB2312"/>
          <w:b/>
          <w:bCs/>
          <w:sz w:val="24"/>
          <w:szCs w:val="24"/>
          <w:u w:val="single"/>
        </w:rPr>
        <w:t xml:space="preserve">   </w:t>
      </w:r>
      <w:r>
        <w:rPr>
          <w:rFonts w:hint="eastAsia" w:ascii="宋体" w:hAnsi="宋体" w:cs="仿宋_GB2312"/>
          <w:sz w:val="24"/>
          <w:szCs w:val="24"/>
        </w:rPr>
        <w:t>（简称乙方）</w:t>
      </w:r>
    </w:p>
    <w:p w14:paraId="2EEFBDFD">
      <w:pPr>
        <w:pStyle w:val="335"/>
        <w:spacing w:line="360" w:lineRule="auto"/>
        <w:ind w:firstLine="480"/>
        <w:outlineLvl w:val="4"/>
        <w:rPr>
          <w:rFonts w:ascii="宋体" w:hAnsi="宋体" w:cs="仿宋_GB2312"/>
          <w:sz w:val="24"/>
          <w:szCs w:val="24"/>
        </w:rPr>
      </w:pPr>
      <w:r>
        <w:rPr>
          <w:rFonts w:hint="eastAsia" w:ascii="宋体" w:hAnsi="宋体" w:cs="仿宋_GB2312"/>
          <w:sz w:val="24"/>
          <w:szCs w:val="24"/>
        </w:rPr>
        <w:t>依照《中华人民共和国政府采购法》及其实施条例、其他有关法律、行政法规，遵循平等、自愿、公平和诚实信用的原则，双方就采购编号为</w:t>
      </w:r>
      <w:r>
        <w:rPr>
          <w:rFonts w:hint="eastAsia" w:ascii="宋体" w:hAnsi="宋体" w:cs="仿宋_GB2312"/>
          <w:sz w:val="24"/>
          <w:szCs w:val="24"/>
          <w:u w:val="single"/>
        </w:rPr>
        <w:t xml:space="preserve"> </w:t>
      </w:r>
      <w:r>
        <w:rPr>
          <w:rFonts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cs="仿宋_GB2312"/>
          <w:sz w:val="24"/>
          <w:szCs w:val="24"/>
        </w:rPr>
        <w:t>的</w:t>
      </w:r>
      <w:r>
        <w:rPr>
          <w:rFonts w:hint="eastAsia" w:ascii="宋体" w:hAnsi="宋体" w:cs="仿宋_GB2312"/>
          <w:sz w:val="24"/>
          <w:szCs w:val="24"/>
          <w:u w:val="single"/>
        </w:rPr>
        <w:t xml:space="preserve">  </w:t>
      </w:r>
      <w:r>
        <w:rPr>
          <w:rFonts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cs="仿宋_GB2312"/>
          <w:sz w:val="24"/>
          <w:szCs w:val="24"/>
        </w:rPr>
        <w:t>相关事项协商一致，达成如下合同条款：</w:t>
      </w:r>
    </w:p>
    <w:p w14:paraId="4852C022">
      <w:pPr>
        <w:pStyle w:val="335"/>
        <w:numPr>
          <w:ilvl w:val="0"/>
          <w:numId w:val="6"/>
        </w:numPr>
        <w:spacing w:line="360" w:lineRule="auto"/>
        <w:outlineLvl w:val="4"/>
        <w:rPr>
          <w:rFonts w:ascii="Times New Roman" w:hAnsi="Times New Roman"/>
          <w:b/>
          <w:bCs/>
          <w:sz w:val="24"/>
          <w:szCs w:val="24"/>
        </w:rPr>
      </w:pPr>
      <w:r>
        <w:rPr>
          <w:rFonts w:ascii="Times New Roman" w:hAnsi="Times New Roman"/>
          <w:b/>
          <w:bCs/>
          <w:sz w:val="24"/>
          <w:szCs w:val="24"/>
        </w:rPr>
        <w:t>合同标的</w:t>
      </w:r>
    </w:p>
    <w:p w14:paraId="0F756C1D">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1、</w:t>
      </w:r>
      <w:r>
        <w:rPr>
          <w:rFonts w:ascii="Times New Roman" w:hAnsi="Times New Roman"/>
          <w:sz w:val="24"/>
          <w:szCs w:val="24"/>
        </w:rPr>
        <w:t>技术服务的目标：</w:t>
      </w:r>
      <w:r>
        <w:rPr>
          <w:rFonts w:ascii="Times New Roman" w:hAnsi="Times New Roman"/>
          <w:sz w:val="24"/>
          <w:szCs w:val="24"/>
          <w:u w:val="single"/>
        </w:rPr>
        <w:t>完成</w:t>
      </w:r>
      <w:r>
        <w:rPr>
          <w:rFonts w:hint="eastAsia" w:ascii="Times New Roman" w:hAnsi="Times New Roman"/>
          <w:sz w:val="24"/>
          <w:szCs w:val="24"/>
          <w:u w:val="single"/>
        </w:rPr>
        <w:t>2026年度泗阳县补充耕地质量评定项目（分包    ）</w:t>
      </w:r>
      <w:r>
        <w:rPr>
          <w:rFonts w:ascii="Times New Roman" w:hAnsi="Times New Roman"/>
          <w:sz w:val="24"/>
          <w:szCs w:val="24"/>
          <w:u w:val="single"/>
        </w:rPr>
        <w:t>服务工作</w:t>
      </w:r>
      <w:r>
        <w:rPr>
          <w:rFonts w:hint="eastAsia" w:ascii="Times New Roman" w:hAnsi="Times New Roman"/>
          <w:sz w:val="24"/>
          <w:szCs w:val="24"/>
          <w:u w:val="single"/>
        </w:rPr>
        <w:t>。</w:t>
      </w:r>
    </w:p>
    <w:p w14:paraId="022E7B55">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2、服务内容：</w:t>
      </w:r>
    </w:p>
    <w:p w14:paraId="37DDCDCB">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根据《江苏省补充耕地质量验收实施细则（试行）》和《江苏省补充耕地质量鉴定技术规程（试行）》要求开展补充耕地质量鉴定工作，包括但不限于以下工作：</w:t>
      </w:r>
    </w:p>
    <w:p w14:paraId="7EB64CF0">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1、资料收集与审核：整理打印全套申请评定资料、审核资料的合规性和完整性、根据省级相关要求开展系统数据填报录入工作、形成一套完整的验收资料等；</w:t>
      </w:r>
    </w:p>
    <w:p w14:paraId="6F404B90">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2、评价单元划分：评价单元的划定原则：要具备科学性、代表性。应遵循地形部位、土壤类型、补充耕地来源、农田基础设施、土地利用方式、行政区划等因素相对一致的原则，并考虑集中连片程度等因素。其中，补充耕地来源分为恢复、垦造；土地利用方式按《国土空间调查、规划、用途管制用地用海分类指南》分为水田、旱地、水浇地。</w:t>
      </w:r>
    </w:p>
    <w:p w14:paraId="22491AF0">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3、踏勘布点：每个评价单元原则上布设不少于3个点位，当评价单元内有多个图斑时，每个图斑均应布设不少于1个点位。单个图斑面积大于200亩的，每200亩加密布设不少于1个点位，200亩内地形条件变化较大的，加密布设不少于2个点位。按照网格法将评价单元划分为不少于布点数量的均匀网格，在网格节点或中心点布设点位，使各点位在评价单元内均匀分布。布设点位应避免布设在沟渠、田坎和道路等位置。在遵循上述布点方法时，实地踏勘中如明确发现评价单元内踏勘点位以外的区域存在问题，应针对问题区域进行调查，并记录。</w:t>
      </w:r>
    </w:p>
    <w:p w14:paraId="4B4EC9A2">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4、现场初步踏勘：每个踏勘小组由踏勘专家、建设方、现场调查人员、司机组成，中标单位提供车辆；实地踏勘应覆盖所有图斑。踏勘内容主要包括农业生产符合性评价指标和耕地质量等级评价指标，并做好实地踏勘记录。</w:t>
      </w:r>
    </w:p>
    <w:p w14:paraId="4FDBCFB8">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5、土样采集：依照省级文件要求开展采样工作。一般表层土壤混合样品采集，在评价单元踏勘布点的每个点位上，采取挖掘法或土钻法采集等量土壤分样点样品，采样深度为0～20cm 。采集过程中应去除地表秸秆与砾石等。将单个评价单元内所有点位采集的土壤分样点样品堆放于聚乙烯塑料布上面，去除明显根系后，充分混匀，然后采取“ 四分法”去除多余样品，留取以风干重计不少于1kg（建议留取鲜样1.5kg）的土壤混合样品。涉及土壤污染状况指标测定的表层土壤混合样品，根据省级文件要求进行采集。</w:t>
      </w:r>
    </w:p>
    <w:p w14:paraId="7629529E">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7、土壤样品检测：农业生产符合性评价踏勘指标合格后，再开展土壤检测工作。检测时，优先开展农业生产符合性评价指标检测。农业生产符合性评价指标检测结果不合格的，不再开展其他指标检测。</w:t>
      </w:r>
    </w:p>
    <w:p w14:paraId="257F8402">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（一）土壤样品检测项目按照以下原则确定：</w:t>
      </w:r>
    </w:p>
    <w:p w14:paraId="45031DCD">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（1）必测项目为pH 值、容重、有机质、全氮、有效磷、速效钾、土壤质地相关的机械组成；</w:t>
      </w:r>
    </w:p>
    <w:p w14:paraId="1FDE5559">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（2）对可能受污染的地块针对污染因子选择检测相关项目；</w:t>
      </w:r>
    </w:p>
    <w:p w14:paraId="58D54162">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（二）检测机构相关要求：</w:t>
      </w:r>
    </w:p>
    <w:p w14:paraId="3BC4FA3B">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（1）检测机构应具备CMA资质、信誉良好、有土壤检测经历。</w:t>
      </w:r>
    </w:p>
    <w:p w14:paraId="18ECF286">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（2）同一检测机构不得参与不同层级的同一地块补充耕地质量鉴定检测任务。</w:t>
      </w:r>
    </w:p>
    <w:p w14:paraId="23D6B251">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（3）检测机构应根据相关管理办法、标准等制定补充耕地质量鉴定样品检测质量控制方案，主动配合农业农村主管部门开展的质控与检查，并对质控与检查中发现的问题及时进行整改。</w:t>
      </w:r>
    </w:p>
    <w:p w14:paraId="7DC5098A">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（4）留存样品至少保存1年，保存期满后，应移交农业农村主管部门处理或由农业农村主管部门授权处理。</w:t>
      </w:r>
    </w:p>
    <w:p w14:paraId="46FF7954">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（5）所有样品制备过程均应于监控设备下进行，监控视频保存不少于一年。</w:t>
      </w:r>
    </w:p>
    <w:p w14:paraId="7B359F8C">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8、照片采集要求：实地踏勘和土壤样品采集均应采集举证照片。举证照片应有经纬度坐标、海拔高度、拍摄时间等水印信息，举证照片与记录表填写的信息应保持一致。</w:t>
      </w:r>
    </w:p>
    <w:p w14:paraId="2FD249BD">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（1）景观照片采集</w:t>
      </w:r>
    </w:p>
    <w:p w14:paraId="6D325B3D">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在每个踏勘点附近拍摄景观照片。景观照片应着重体现样点地形地貌、植被景观、土地利用现状、地表特征、水资源保障条件、排水条件、道路通行条件等特征。其中，对存在可能影响符合性评价结论的问题特征应予重点采集。</w:t>
      </w:r>
    </w:p>
    <w:p w14:paraId="227AB27C">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（2）采样照片采集</w:t>
      </w:r>
    </w:p>
    <w:p w14:paraId="15080387">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应拍摄现场工作照、剖面照或土钻断面照、土壤混合样品采集照、四分法工作照、土壤容重样品采集照、样品封存照等。</w:t>
      </w:r>
    </w:p>
    <w:p w14:paraId="512F8D4D">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9、开展耕地质量鉴定评价：</w:t>
      </w:r>
    </w:p>
    <w:p w14:paraId="784436D3">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1）开展农业生产符合性评价：评价指标包括但不限于地形坡度、田面平整度、土壤侵入体及砾石含量、有效土层厚度、道路通行条件、水资源保障条件、排水能力、土壤有机质含量、土壤污染状况等。农业生产符合性评价指标中有一项不达标的，评价结果即为不合格。农业生产符合性评价不合格的，不开展耕地质量等级评价。</w:t>
      </w:r>
    </w:p>
    <w:p w14:paraId="4D9225BB">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2）耕地质量等级评价：按照《第三次全国土壤普查耕地质量等级评价技术规范》开展耕地质量等级评价，江苏省耕地质量等级评价指标共12个：分别是有机质、排水能力、水资源条件、地形部位、耕层质地、速效钾、有效磷、土壤容重、质地构型、酸碱度、耕层厚度、有效土层厚度。</w:t>
      </w:r>
    </w:p>
    <w:p w14:paraId="58AE3B0E">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10、评定会议：组织不少于5名省市级专家开展县级验收，出具县级补充耕地质量鉴定意见包括但不限于补充耕地基本信息、鉴定组织实施情况、鉴定主要环节分析说明、初步鉴定结论、异议及特殊情况说明、建议以及必要的附件等。</w:t>
      </w:r>
    </w:p>
    <w:p w14:paraId="6EBEF3B2">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11、中标单位在市级专家踏勘前组织工作人员进行前期踏勘，要求不合格的地块进行整改，降低初次专家踏勘不合格率。如专家初次踏勘不合格，中标单位需承担第2次踏勘费用；初次土壤检测不合格，中标单位需承担第2次检测费用。</w:t>
      </w:r>
    </w:p>
    <w:p w14:paraId="736B5C57">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12、项目开展期间中标企业需派驻包含1名项目负责人在内的不少于3人以上项目小组在泗阳办公。</w:t>
      </w:r>
    </w:p>
    <w:p w14:paraId="0742CB03">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如有最新省级补充耕地质量评定技术要求，最终服务内容可依据最新要求进行调整。</w:t>
      </w:r>
    </w:p>
    <w:p w14:paraId="68504464">
      <w:pPr>
        <w:pStyle w:val="335"/>
        <w:numPr>
          <w:ilvl w:val="0"/>
          <w:numId w:val="6"/>
        </w:numPr>
        <w:spacing w:line="360" w:lineRule="auto"/>
        <w:outlineLvl w:val="4"/>
        <w:rPr>
          <w:rFonts w:ascii="宋体" w:hAnsi="宋体" w:cs="仿宋_GB2312"/>
          <w:b/>
          <w:bCs/>
          <w:sz w:val="24"/>
          <w:szCs w:val="24"/>
        </w:rPr>
      </w:pPr>
      <w:r>
        <w:rPr>
          <w:rFonts w:hint="eastAsia" w:ascii="宋体" w:hAnsi="宋体" w:cs="仿宋_GB2312"/>
          <w:b/>
          <w:bCs/>
          <w:sz w:val="24"/>
          <w:szCs w:val="24"/>
        </w:rPr>
        <w:t>合同金额</w:t>
      </w:r>
    </w:p>
    <w:p w14:paraId="4B4323F6">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1、乙方向甲方提供总价值约</w:t>
      </w:r>
      <w:r>
        <w:rPr>
          <w:rFonts w:hint="eastAsia" w:ascii="Times New Roman" w:hAnsi="Times New Roman"/>
          <w:sz w:val="24"/>
          <w:szCs w:val="24"/>
          <w:u w:val="single"/>
        </w:rPr>
        <w:t xml:space="preserve">为    （¥  元） </w:t>
      </w:r>
      <w:r>
        <w:rPr>
          <w:rFonts w:hint="eastAsia" w:ascii="Times New Roman" w:hAnsi="Times New Roman"/>
          <w:sz w:val="24"/>
          <w:szCs w:val="24"/>
        </w:rPr>
        <w:t xml:space="preserve"> 元的服务。</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2281"/>
        <w:gridCol w:w="1858"/>
        <w:gridCol w:w="1007"/>
        <w:gridCol w:w="1543"/>
        <w:gridCol w:w="973"/>
      </w:tblGrid>
      <w:tr w14:paraId="29329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60" w:type="dxa"/>
            <w:noWrap w:val="0"/>
            <w:vAlign w:val="center"/>
          </w:tcPr>
          <w:p w14:paraId="5B5F867A">
            <w:pPr>
              <w:widowControl/>
              <w:spacing w:line="360" w:lineRule="auto"/>
              <w:jc w:val="center"/>
              <w:rPr>
                <w:rFonts w:ascii="宋体" w:hAnsi="宋体" w:cs="宋体"/>
                <w:sz w:val="24"/>
                <w:szCs w:val="21"/>
                <w:lang w:bidi="ar"/>
              </w:rPr>
            </w:pPr>
            <w:r>
              <w:rPr>
                <w:rFonts w:hint="eastAsia" w:ascii="宋体" w:hAnsi="宋体" w:cs="宋体"/>
                <w:sz w:val="24"/>
                <w:szCs w:val="24"/>
                <w:lang w:bidi="ar"/>
              </w:rPr>
              <w:t>序号</w:t>
            </w:r>
          </w:p>
        </w:tc>
        <w:tc>
          <w:tcPr>
            <w:tcW w:w="2281" w:type="dxa"/>
            <w:noWrap w:val="0"/>
            <w:vAlign w:val="center"/>
          </w:tcPr>
          <w:p w14:paraId="6ABB49A8">
            <w:pPr>
              <w:widowControl/>
              <w:spacing w:line="360" w:lineRule="auto"/>
              <w:rPr>
                <w:rFonts w:ascii="宋体" w:hAnsi="宋体" w:cs="宋体"/>
                <w:sz w:val="24"/>
                <w:szCs w:val="21"/>
                <w:lang w:bidi="ar"/>
              </w:rPr>
            </w:pPr>
            <w:r>
              <w:rPr>
                <w:rFonts w:hint="eastAsia" w:ascii="宋体" w:hAnsi="宋体" w:cs="宋体"/>
                <w:sz w:val="24"/>
                <w:szCs w:val="24"/>
                <w:lang w:bidi="ar"/>
              </w:rPr>
              <w:t>服务要求</w:t>
            </w:r>
          </w:p>
        </w:tc>
        <w:tc>
          <w:tcPr>
            <w:tcW w:w="1858" w:type="dxa"/>
            <w:noWrap w:val="0"/>
            <w:vAlign w:val="center"/>
          </w:tcPr>
          <w:p w14:paraId="3D955C8E">
            <w:pPr>
              <w:widowControl/>
              <w:spacing w:line="360" w:lineRule="auto"/>
              <w:jc w:val="center"/>
              <w:rPr>
                <w:rFonts w:ascii="宋体" w:hAnsi="宋体" w:cs="宋体"/>
                <w:sz w:val="24"/>
                <w:szCs w:val="21"/>
                <w:lang w:bidi="ar"/>
              </w:rPr>
            </w:pPr>
            <w:r>
              <w:rPr>
                <w:rFonts w:hint="eastAsia" w:ascii="宋体" w:hAnsi="宋体" w:cs="宋体"/>
                <w:sz w:val="24"/>
                <w:szCs w:val="24"/>
                <w:lang w:bidi="ar"/>
              </w:rPr>
              <w:t>单价（元）</w:t>
            </w:r>
          </w:p>
        </w:tc>
        <w:tc>
          <w:tcPr>
            <w:tcW w:w="1007" w:type="dxa"/>
            <w:noWrap w:val="0"/>
            <w:vAlign w:val="center"/>
          </w:tcPr>
          <w:p w14:paraId="054416F5">
            <w:pPr>
              <w:widowControl/>
              <w:spacing w:line="360" w:lineRule="auto"/>
              <w:jc w:val="center"/>
              <w:rPr>
                <w:rFonts w:ascii="宋体" w:hAnsi="宋体" w:cs="宋体"/>
                <w:sz w:val="24"/>
                <w:szCs w:val="21"/>
                <w:lang w:bidi="ar"/>
              </w:rPr>
            </w:pPr>
            <w:r>
              <w:rPr>
                <w:rFonts w:hint="eastAsia" w:ascii="宋体" w:hAnsi="宋体" w:cs="宋体"/>
                <w:sz w:val="24"/>
                <w:szCs w:val="24"/>
                <w:lang w:bidi="ar"/>
              </w:rPr>
              <w:t>数量</w:t>
            </w:r>
          </w:p>
        </w:tc>
        <w:tc>
          <w:tcPr>
            <w:tcW w:w="1543" w:type="dxa"/>
            <w:noWrap w:val="0"/>
            <w:vAlign w:val="center"/>
          </w:tcPr>
          <w:p w14:paraId="14F6C700">
            <w:pPr>
              <w:widowControl/>
              <w:spacing w:line="360" w:lineRule="auto"/>
              <w:jc w:val="center"/>
              <w:rPr>
                <w:rFonts w:ascii="宋体" w:hAnsi="宋体" w:cs="宋体"/>
                <w:sz w:val="24"/>
                <w:szCs w:val="21"/>
                <w:lang w:bidi="ar"/>
              </w:rPr>
            </w:pPr>
            <w:r>
              <w:rPr>
                <w:rFonts w:hint="eastAsia" w:ascii="宋体" w:hAnsi="宋体" w:cs="宋体"/>
                <w:sz w:val="24"/>
                <w:szCs w:val="24"/>
                <w:lang w:bidi="ar"/>
              </w:rPr>
              <w:t>合价（元）</w:t>
            </w:r>
          </w:p>
        </w:tc>
        <w:tc>
          <w:tcPr>
            <w:tcW w:w="973" w:type="dxa"/>
            <w:noWrap w:val="0"/>
            <w:vAlign w:val="center"/>
          </w:tcPr>
          <w:p w14:paraId="43B334BD">
            <w:pPr>
              <w:widowControl/>
              <w:spacing w:line="360" w:lineRule="auto"/>
              <w:jc w:val="center"/>
              <w:rPr>
                <w:rFonts w:ascii="宋体" w:hAnsi="宋体" w:cs="宋体"/>
                <w:sz w:val="24"/>
                <w:szCs w:val="21"/>
                <w:lang w:bidi="ar"/>
              </w:rPr>
            </w:pPr>
            <w:r>
              <w:rPr>
                <w:rFonts w:hint="eastAsia" w:ascii="宋体" w:hAnsi="宋体" w:cs="宋体"/>
                <w:sz w:val="24"/>
                <w:szCs w:val="24"/>
                <w:lang w:bidi="ar"/>
              </w:rPr>
              <w:t>备注</w:t>
            </w:r>
          </w:p>
        </w:tc>
      </w:tr>
      <w:tr w14:paraId="26B04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60" w:type="dxa"/>
            <w:noWrap w:val="0"/>
            <w:vAlign w:val="center"/>
          </w:tcPr>
          <w:p w14:paraId="4602EC1B">
            <w:pPr>
              <w:widowControl/>
              <w:spacing w:line="360" w:lineRule="auto"/>
              <w:jc w:val="center"/>
              <w:rPr>
                <w:rFonts w:ascii="宋体" w:hAnsi="宋体" w:cs="宋体"/>
                <w:sz w:val="24"/>
                <w:szCs w:val="21"/>
                <w:lang w:bidi="ar"/>
              </w:rPr>
            </w:pPr>
          </w:p>
        </w:tc>
        <w:tc>
          <w:tcPr>
            <w:tcW w:w="2281" w:type="dxa"/>
            <w:noWrap w:val="0"/>
            <w:vAlign w:val="center"/>
          </w:tcPr>
          <w:p w14:paraId="6EA1FF65">
            <w:pPr>
              <w:widowControl/>
              <w:spacing w:line="360" w:lineRule="auto"/>
              <w:jc w:val="center"/>
              <w:rPr>
                <w:rFonts w:ascii="宋体" w:hAnsi="宋体" w:cs="宋体"/>
                <w:sz w:val="24"/>
                <w:szCs w:val="21"/>
                <w:lang w:bidi="ar"/>
              </w:rPr>
            </w:pPr>
          </w:p>
        </w:tc>
        <w:tc>
          <w:tcPr>
            <w:tcW w:w="1858" w:type="dxa"/>
            <w:noWrap w:val="0"/>
            <w:vAlign w:val="center"/>
          </w:tcPr>
          <w:p w14:paraId="2426F8AF">
            <w:pPr>
              <w:widowControl/>
              <w:spacing w:line="360" w:lineRule="auto"/>
              <w:rPr>
                <w:rFonts w:ascii="宋体" w:hAnsi="宋体" w:cs="宋体"/>
                <w:sz w:val="24"/>
                <w:szCs w:val="21"/>
                <w:lang w:bidi="ar"/>
              </w:rPr>
            </w:pPr>
          </w:p>
        </w:tc>
        <w:tc>
          <w:tcPr>
            <w:tcW w:w="1007" w:type="dxa"/>
            <w:noWrap w:val="0"/>
            <w:vAlign w:val="center"/>
          </w:tcPr>
          <w:p w14:paraId="21ECC096">
            <w:pPr>
              <w:widowControl/>
              <w:spacing w:line="360" w:lineRule="auto"/>
              <w:rPr>
                <w:rFonts w:ascii="宋体" w:hAnsi="宋体" w:cs="宋体"/>
                <w:sz w:val="24"/>
                <w:szCs w:val="21"/>
                <w:lang w:bidi="ar"/>
              </w:rPr>
            </w:pPr>
          </w:p>
        </w:tc>
        <w:tc>
          <w:tcPr>
            <w:tcW w:w="1543" w:type="dxa"/>
            <w:noWrap w:val="0"/>
            <w:vAlign w:val="center"/>
          </w:tcPr>
          <w:p w14:paraId="6E7FA122">
            <w:pPr>
              <w:widowControl/>
              <w:spacing w:line="360" w:lineRule="auto"/>
              <w:rPr>
                <w:rFonts w:ascii="宋体" w:hAnsi="宋体" w:cs="宋体"/>
                <w:sz w:val="24"/>
                <w:szCs w:val="21"/>
                <w:lang w:bidi="ar"/>
              </w:rPr>
            </w:pPr>
          </w:p>
        </w:tc>
        <w:tc>
          <w:tcPr>
            <w:tcW w:w="973" w:type="dxa"/>
            <w:noWrap w:val="0"/>
            <w:vAlign w:val="center"/>
          </w:tcPr>
          <w:p w14:paraId="4802D8A0">
            <w:pPr>
              <w:widowControl/>
              <w:spacing w:line="360" w:lineRule="auto"/>
              <w:rPr>
                <w:rFonts w:ascii="宋体" w:hAnsi="宋体" w:cs="宋体"/>
                <w:sz w:val="24"/>
                <w:szCs w:val="21"/>
                <w:lang w:bidi="ar"/>
              </w:rPr>
            </w:pPr>
          </w:p>
        </w:tc>
      </w:tr>
      <w:tr w14:paraId="1922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3141" w:type="dxa"/>
            <w:gridSpan w:val="2"/>
            <w:noWrap w:val="0"/>
            <w:vAlign w:val="center"/>
          </w:tcPr>
          <w:p w14:paraId="37A9B22A">
            <w:pPr>
              <w:widowControl/>
              <w:spacing w:line="360" w:lineRule="auto"/>
              <w:ind w:firstLine="960"/>
              <w:rPr>
                <w:rFonts w:ascii="宋体" w:hAnsi="宋体" w:cs="宋体"/>
                <w:sz w:val="24"/>
                <w:szCs w:val="21"/>
                <w:lang w:bidi="ar"/>
              </w:rPr>
            </w:pPr>
            <w:r>
              <w:rPr>
                <w:rFonts w:hint="eastAsia" w:ascii="宋体" w:hAnsi="宋体" w:cs="宋体"/>
                <w:sz w:val="24"/>
                <w:szCs w:val="24"/>
                <w:lang w:bidi="ar"/>
              </w:rPr>
              <w:t>总计</w:t>
            </w:r>
          </w:p>
        </w:tc>
        <w:tc>
          <w:tcPr>
            <w:tcW w:w="5381" w:type="dxa"/>
            <w:gridSpan w:val="4"/>
            <w:noWrap w:val="0"/>
            <w:vAlign w:val="center"/>
          </w:tcPr>
          <w:p w14:paraId="4ECC7C9A">
            <w:pPr>
              <w:widowControl/>
              <w:spacing w:line="360" w:lineRule="auto"/>
              <w:rPr>
                <w:rFonts w:ascii="Times New Roman" w:hAnsi="Times New Roman"/>
                <w:sz w:val="24"/>
                <w:szCs w:val="21"/>
              </w:rPr>
            </w:pPr>
            <w:r>
              <w:rPr>
                <w:rFonts w:hint="eastAsia" w:ascii="宋体" w:hAnsi="宋体" w:cs="宋体"/>
                <w:sz w:val="24"/>
                <w:szCs w:val="24"/>
                <w:lang w:bidi="ar"/>
              </w:rPr>
              <w:t xml:space="preserve">人民币（大写）： </w:t>
            </w:r>
          </w:p>
        </w:tc>
      </w:tr>
    </w:tbl>
    <w:p w14:paraId="0A484E0E">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2、</w:t>
      </w:r>
      <w:r>
        <w:rPr>
          <w:rFonts w:ascii="Times New Roman" w:hAnsi="Times New Roman"/>
          <w:sz w:val="24"/>
          <w:szCs w:val="24"/>
        </w:rPr>
        <w:t>本合同</w:t>
      </w:r>
      <w:r>
        <w:rPr>
          <w:rFonts w:hint="eastAsia" w:ascii="Times New Roman" w:hAnsi="Times New Roman"/>
          <w:sz w:val="24"/>
          <w:szCs w:val="24"/>
        </w:rPr>
        <w:t>单价</w:t>
      </w:r>
      <w:r>
        <w:rPr>
          <w:rFonts w:ascii="Times New Roman" w:hAnsi="Times New Roman"/>
          <w:sz w:val="24"/>
          <w:szCs w:val="24"/>
        </w:rPr>
        <w:t>金额包括乙方提供的服务及其他有关的为完成本项目发生的所有费用，招标文件中另有规定的除外。</w:t>
      </w:r>
    </w:p>
    <w:p w14:paraId="1795F0CE">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3、</w:t>
      </w:r>
      <w:r>
        <w:rPr>
          <w:rFonts w:ascii="Times New Roman" w:hAnsi="Times New Roman"/>
          <w:sz w:val="24"/>
          <w:szCs w:val="24"/>
        </w:rPr>
        <w:t>在招标文件未列明，而乙方认为履行本合同必需的费用也包含在合同金额中。</w:t>
      </w:r>
    </w:p>
    <w:p w14:paraId="62884429">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4、</w:t>
      </w:r>
      <w:r>
        <w:rPr>
          <w:rFonts w:ascii="Times New Roman" w:hAnsi="Times New Roman"/>
          <w:sz w:val="24"/>
          <w:szCs w:val="24"/>
        </w:rPr>
        <w:t>本合同金额还包含乙方提供的伴随服务/售后服务费用。</w:t>
      </w:r>
    </w:p>
    <w:p w14:paraId="43889FCC">
      <w:pPr>
        <w:pStyle w:val="334"/>
        <w:tabs>
          <w:tab w:val="left" w:pos="753"/>
        </w:tabs>
        <w:spacing w:line="360" w:lineRule="auto"/>
        <w:ind w:firstLine="480"/>
        <w:rPr>
          <w:rFonts w:ascii="Times New Roman" w:hAnsi="Times New Roman"/>
          <w:sz w:val="24"/>
          <w:szCs w:val="24"/>
        </w:rPr>
      </w:pPr>
      <w:r>
        <w:rPr>
          <w:rFonts w:hint="eastAsia" w:ascii="Times New Roman" w:hAnsi="Times New Roman"/>
          <w:sz w:val="24"/>
          <w:szCs w:val="24"/>
        </w:rPr>
        <w:t>5、本项目为固定单价合同，最终结算金额=中标价*最终确定的申报面积。</w:t>
      </w:r>
    </w:p>
    <w:p w14:paraId="18C2DA38">
      <w:pPr>
        <w:pStyle w:val="335"/>
        <w:spacing w:line="360" w:lineRule="auto"/>
        <w:outlineLvl w:val="4"/>
        <w:rPr>
          <w:rFonts w:ascii="宋体" w:hAnsi="宋体" w:cs="仿宋_GB2312"/>
          <w:b/>
          <w:bCs/>
          <w:sz w:val="24"/>
          <w:szCs w:val="24"/>
        </w:rPr>
      </w:pPr>
      <w:r>
        <w:rPr>
          <w:rFonts w:hint="eastAsia" w:ascii="宋体" w:hAnsi="宋体" w:cs="仿宋_GB2312"/>
          <w:b/>
          <w:bCs/>
          <w:sz w:val="24"/>
          <w:szCs w:val="24"/>
        </w:rPr>
        <w:t>三、服务时间及地点</w:t>
      </w:r>
    </w:p>
    <w:p w14:paraId="19AB0B4D">
      <w:pPr>
        <w:pStyle w:val="335"/>
        <w:spacing w:line="360" w:lineRule="auto"/>
        <w:ind w:firstLine="480"/>
        <w:outlineLvl w:val="4"/>
        <w:rPr>
          <w:rFonts w:ascii="Times New Roman" w:hAnsi="Times New Roman"/>
          <w:bCs/>
          <w:sz w:val="24"/>
          <w:szCs w:val="24"/>
        </w:rPr>
      </w:pPr>
      <w:r>
        <w:rPr>
          <w:rFonts w:hint="eastAsia" w:ascii="宋体" w:hAnsi="宋体" w:cs="仿宋_GB2312"/>
          <w:bCs/>
          <w:sz w:val="24"/>
          <w:szCs w:val="24"/>
        </w:rPr>
        <w:t>1、</w:t>
      </w:r>
      <w:r>
        <w:rPr>
          <w:rFonts w:ascii="Times New Roman" w:hAnsi="Times New Roman"/>
          <w:sz w:val="24"/>
          <w:szCs w:val="24"/>
        </w:rPr>
        <w:t>时间要求：</w:t>
      </w:r>
      <w:r>
        <w:rPr>
          <w:rFonts w:hint="eastAsia" w:ascii="Times New Roman" w:hAnsi="Times New Roman"/>
          <w:bCs/>
          <w:sz w:val="24"/>
          <w:szCs w:val="24"/>
          <w:u w:val="single"/>
        </w:rPr>
        <w:t xml:space="preserve"> </w:t>
      </w:r>
      <w:r>
        <w:rPr>
          <w:rFonts w:hint="eastAsia" w:ascii="Times New Roman" w:hAnsi="Times New Roman"/>
          <w:sz w:val="24"/>
          <w:szCs w:val="24"/>
          <w:u w:val="single"/>
        </w:rPr>
        <w:t>合同生效之日起4个月</w:t>
      </w:r>
      <w:r>
        <w:rPr>
          <w:rFonts w:ascii="Times New Roman" w:hAnsi="Times New Roman"/>
          <w:sz w:val="24"/>
          <w:szCs w:val="24"/>
          <w:u w:val="single"/>
        </w:rPr>
        <w:t xml:space="preserve"> </w:t>
      </w:r>
      <w:r>
        <w:rPr>
          <w:rFonts w:ascii="Times New Roman" w:hAnsi="Times New Roman"/>
          <w:bCs/>
          <w:sz w:val="24"/>
          <w:szCs w:val="24"/>
          <w:u w:val="single"/>
        </w:rPr>
        <w:t xml:space="preserve">  </w:t>
      </w:r>
      <w:r>
        <w:rPr>
          <w:rFonts w:ascii="Times New Roman" w:hAnsi="Times New Roman"/>
          <w:bCs/>
          <w:sz w:val="24"/>
          <w:szCs w:val="24"/>
        </w:rPr>
        <w:t>。</w:t>
      </w:r>
    </w:p>
    <w:p w14:paraId="13291E36">
      <w:pPr>
        <w:pStyle w:val="335"/>
        <w:spacing w:line="360" w:lineRule="auto"/>
        <w:ind w:firstLine="480"/>
        <w:outlineLvl w:val="4"/>
        <w:rPr>
          <w:rFonts w:ascii="Times New Roman" w:hAnsi="Times New Roman"/>
          <w:bCs/>
          <w:sz w:val="24"/>
          <w:szCs w:val="24"/>
        </w:rPr>
      </w:pPr>
      <w:r>
        <w:rPr>
          <w:rFonts w:hint="eastAsia" w:ascii="Times New Roman" w:hAnsi="Times New Roman"/>
          <w:bCs/>
          <w:sz w:val="24"/>
          <w:szCs w:val="24"/>
        </w:rPr>
        <w:t>2、服务地点：</w:t>
      </w:r>
      <w:r>
        <w:rPr>
          <w:rFonts w:hint="eastAsia" w:ascii="Times New Roman" w:hAnsi="Times New Roman"/>
          <w:bCs/>
          <w:sz w:val="24"/>
          <w:szCs w:val="24"/>
          <w:u w:val="single"/>
        </w:rPr>
        <w:t>采购人指定地点</w:t>
      </w:r>
      <w:r>
        <w:rPr>
          <w:rFonts w:hint="eastAsia" w:ascii="Times New Roman" w:hAnsi="Times New Roman"/>
          <w:bCs/>
          <w:sz w:val="24"/>
          <w:szCs w:val="24"/>
        </w:rPr>
        <w:t>。</w:t>
      </w:r>
    </w:p>
    <w:p w14:paraId="31DA504C">
      <w:pPr>
        <w:pStyle w:val="334"/>
        <w:tabs>
          <w:tab w:val="left" w:pos="753"/>
        </w:tabs>
        <w:spacing w:line="360" w:lineRule="auto"/>
        <w:rPr>
          <w:rFonts w:ascii="Times New Roman" w:hAnsi="Times New Roman"/>
          <w:b/>
          <w:sz w:val="24"/>
          <w:szCs w:val="24"/>
        </w:rPr>
      </w:pPr>
      <w:r>
        <w:rPr>
          <w:rFonts w:hint="eastAsia" w:ascii="宋体" w:hAnsi="宋体" w:cs="仿宋_GB2312"/>
          <w:b/>
          <w:bCs/>
          <w:sz w:val="24"/>
          <w:szCs w:val="24"/>
        </w:rPr>
        <w:t>四</w:t>
      </w:r>
      <w:r>
        <w:rPr>
          <w:rFonts w:ascii="宋体" w:hAnsi="宋体" w:cs="仿宋_GB2312"/>
          <w:b/>
          <w:bCs/>
          <w:sz w:val="24"/>
          <w:szCs w:val="24"/>
        </w:rPr>
        <w:t>、</w:t>
      </w:r>
      <w:r>
        <w:rPr>
          <w:rFonts w:ascii="Times New Roman" w:hAnsi="Times New Roman"/>
          <w:b/>
          <w:sz w:val="24"/>
          <w:szCs w:val="24"/>
        </w:rPr>
        <w:t>质量要求：</w:t>
      </w:r>
    </w:p>
    <w:p w14:paraId="06D3F573">
      <w:pPr>
        <w:pStyle w:val="334"/>
        <w:tabs>
          <w:tab w:val="left" w:pos="753"/>
        </w:tabs>
        <w:spacing w:line="360" w:lineRule="auto"/>
        <w:ind w:firstLine="480"/>
        <w:rPr>
          <w:rFonts w:ascii="Times New Roman" w:hAnsi="Times New Roman"/>
          <w:b/>
          <w:sz w:val="24"/>
          <w:szCs w:val="24"/>
        </w:rPr>
      </w:pPr>
      <w:r>
        <w:rPr>
          <w:rFonts w:hint="eastAsia" w:ascii="Times New Roman" w:hAnsi="Times New Roman"/>
          <w:sz w:val="24"/>
          <w:szCs w:val="24"/>
        </w:rPr>
        <w:t>按照补充耕地质量评定项目有关要求，制定内部质量控制计划，按计划实施内部质量控制，编制内部质量控制评价报告等。配合省级质量监督检查、国家级、区级质量监督检查。</w:t>
      </w:r>
    </w:p>
    <w:p w14:paraId="7B085F74">
      <w:pPr>
        <w:pStyle w:val="334"/>
        <w:tabs>
          <w:tab w:val="left" w:pos="753"/>
        </w:tabs>
        <w:spacing w:line="360" w:lineRule="auto"/>
        <w:rPr>
          <w:rFonts w:ascii="Times New Roman" w:hAnsi="Times New Roman"/>
          <w:b/>
          <w:sz w:val="24"/>
          <w:szCs w:val="24"/>
        </w:rPr>
      </w:pPr>
      <w:r>
        <w:rPr>
          <w:rFonts w:hint="eastAsia" w:ascii="Times New Roman" w:hAnsi="Times New Roman"/>
          <w:b/>
          <w:sz w:val="24"/>
          <w:szCs w:val="24"/>
        </w:rPr>
        <w:t>五、服务标准及要求：</w:t>
      </w:r>
    </w:p>
    <w:p w14:paraId="556EFD6A">
      <w:pPr>
        <w:pStyle w:val="334"/>
        <w:tabs>
          <w:tab w:val="left" w:pos="753"/>
        </w:tabs>
        <w:spacing w:line="360" w:lineRule="auto"/>
        <w:ind w:firstLine="480"/>
        <w:rPr>
          <w:rFonts w:ascii="Times New Roman" w:hAnsi="Times New Roman"/>
          <w:bCs/>
          <w:sz w:val="24"/>
          <w:szCs w:val="24"/>
        </w:rPr>
      </w:pPr>
      <w:r>
        <w:rPr>
          <w:rFonts w:hint="eastAsia" w:ascii="Times New Roman" w:hAnsi="Times New Roman"/>
          <w:bCs/>
          <w:sz w:val="24"/>
          <w:szCs w:val="24"/>
        </w:rPr>
        <w:t>乙方提供的服务必须全部达到招标文件各项要求，国家或行业有规定的，还要符合相应规定。服务期满前，乙方根据甲方要求提供完整的文档资料，并配合甲方做好与本项目相关任务的衔接工作</w:t>
      </w:r>
      <w:r>
        <w:rPr>
          <w:rFonts w:ascii="Times New Roman" w:hAnsi="Times New Roman"/>
          <w:bCs/>
          <w:sz w:val="24"/>
          <w:szCs w:val="24"/>
        </w:rPr>
        <w:t>。</w:t>
      </w:r>
    </w:p>
    <w:p w14:paraId="5B8967B6">
      <w:pPr>
        <w:pStyle w:val="334"/>
        <w:tabs>
          <w:tab w:val="left" w:pos="753"/>
        </w:tabs>
        <w:spacing w:line="360" w:lineRule="auto"/>
        <w:rPr>
          <w:rFonts w:ascii="Times New Roman" w:hAnsi="Times New Roman"/>
          <w:b/>
          <w:sz w:val="24"/>
          <w:szCs w:val="24"/>
        </w:rPr>
      </w:pPr>
      <w:r>
        <w:rPr>
          <w:rFonts w:hint="eastAsia" w:ascii="宋体" w:hAnsi="宋体" w:cs="仿宋_GB2312"/>
          <w:b/>
          <w:bCs/>
          <w:sz w:val="24"/>
          <w:szCs w:val="24"/>
        </w:rPr>
        <w:t>六、</w:t>
      </w:r>
      <w:r>
        <w:rPr>
          <w:rFonts w:hint="eastAsia" w:ascii="Times New Roman" w:hAnsi="Times New Roman"/>
          <w:b/>
          <w:sz w:val="24"/>
          <w:szCs w:val="24"/>
        </w:rPr>
        <w:t>验收</w:t>
      </w:r>
      <w:r>
        <w:rPr>
          <w:rFonts w:ascii="Times New Roman" w:hAnsi="Times New Roman"/>
          <w:b/>
          <w:sz w:val="24"/>
          <w:szCs w:val="24"/>
        </w:rPr>
        <w:t>：</w:t>
      </w:r>
    </w:p>
    <w:p w14:paraId="73AC9718">
      <w:pPr>
        <w:pStyle w:val="334"/>
        <w:tabs>
          <w:tab w:val="left" w:pos="753"/>
        </w:tabs>
        <w:spacing w:line="360" w:lineRule="auto"/>
        <w:ind w:firstLine="480"/>
        <w:rPr>
          <w:rFonts w:ascii="宋体" w:hAnsi="宋体" w:cs="仿宋_GB2312"/>
          <w:sz w:val="24"/>
          <w:szCs w:val="24"/>
        </w:rPr>
      </w:pPr>
      <w:r>
        <w:rPr>
          <w:rFonts w:hint="eastAsia" w:ascii="Times New Roman" w:hAnsi="Times New Roman"/>
          <w:sz w:val="24"/>
          <w:szCs w:val="24"/>
        </w:rPr>
        <w:t>1、甲方应当组成验收小组约定时间组织验收，验收人员应当按照政府采购约定的验收标准，对乙方的履约情况开展验收。验收结束后，验收人员应当出具验收报</w:t>
      </w:r>
      <w:r>
        <w:rPr>
          <w:rFonts w:hint="eastAsia" w:ascii="宋体" w:hAnsi="宋体" w:cs="仿宋_GB2312"/>
          <w:sz w:val="24"/>
          <w:szCs w:val="24"/>
        </w:rPr>
        <w:t>告并签字。政府向社会公众提供的公共服务项目，验收结果应当向社会公告。</w:t>
      </w:r>
    </w:p>
    <w:p w14:paraId="58272156">
      <w:pPr>
        <w:pStyle w:val="334"/>
        <w:tabs>
          <w:tab w:val="left" w:pos="753"/>
        </w:tabs>
        <w:spacing w:line="360" w:lineRule="auto"/>
        <w:ind w:firstLine="480"/>
        <w:rPr>
          <w:rFonts w:ascii="宋体" w:hAnsi="宋体" w:cs="仿宋_GB2312"/>
          <w:sz w:val="24"/>
          <w:szCs w:val="24"/>
        </w:rPr>
      </w:pPr>
      <w:r>
        <w:rPr>
          <w:rFonts w:hint="eastAsia" w:ascii="宋体" w:hAnsi="宋体" w:cs="仿宋_GB2312"/>
          <w:sz w:val="24"/>
          <w:szCs w:val="24"/>
        </w:rPr>
        <w:t>2、甲方在验收中，如发现有与合同规定不符的，应在3天内向乙方提出书面意见，不签发验收单，并同时将该书面意见提交至政府采购科。乙方在接到采购单位书面意见后，应在3天内予以处理，并将处理结果以书面形式告知政府采购科。</w:t>
      </w:r>
    </w:p>
    <w:p w14:paraId="2BBB7783">
      <w:pPr>
        <w:pStyle w:val="334"/>
        <w:tabs>
          <w:tab w:val="left" w:pos="753"/>
        </w:tabs>
        <w:spacing w:line="360" w:lineRule="auto"/>
        <w:rPr>
          <w:rFonts w:ascii="Times New Roman" w:hAnsi="Times New Roman"/>
          <w:b/>
          <w:sz w:val="24"/>
          <w:szCs w:val="24"/>
        </w:rPr>
      </w:pPr>
      <w:r>
        <w:rPr>
          <w:rFonts w:hint="eastAsia" w:ascii="Times New Roman" w:hAnsi="Times New Roman"/>
          <w:b/>
          <w:sz w:val="24"/>
          <w:szCs w:val="24"/>
        </w:rPr>
        <w:t>七、付款方式</w:t>
      </w:r>
    </w:p>
    <w:p w14:paraId="5DF2404F">
      <w:pPr>
        <w:spacing w:line="360" w:lineRule="auto"/>
        <w:ind w:firstLine="482"/>
        <w:rPr>
          <w:rFonts w:ascii="宋体" w:hAnsi="宋体" w:cs="仿宋_GB2312"/>
          <w:sz w:val="24"/>
          <w:szCs w:val="24"/>
        </w:rPr>
      </w:pPr>
      <w:r>
        <w:rPr>
          <w:rFonts w:hint="eastAsia" w:ascii="宋体" w:hAnsi="宋体" w:cs="仿宋_GB2312"/>
          <w:sz w:val="24"/>
          <w:szCs w:val="24"/>
        </w:rPr>
        <w:t>按照以下确定的付款方式，采购人及时办理付款手续。对于满足合同约定支付条件的，自收到发票后10个工作日内将资金支付到合同约定的供应商账户或供应商数字人民币账户。</w:t>
      </w:r>
    </w:p>
    <w:p w14:paraId="1835B67B">
      <w:pPr>
        <w:spacing w:line="360" w:lineRule="auto"/>
        <w:ind w:firstLine="482"/>
        <w:rPr>
          <w:rFonts w:ascii="Times New Roman" w:hAnsi="Times New Roman" w:eastAsia="仿宋_GB2312" w:cs="仿宋_GB2312"/>
          <w:sz w:val="24"/>
          <w:szCs w:val="21"/>
        </w:rPr>
      </w:pPr>
      <w:r>
        <w:rPr>
          <w:rFonts w:hint="eastAsia" w:ascii="Times New Roman" w:hAnsi="Times New Roman"/>
          <w:bCs/>
          <w:sz w:val="24"/>
          <w:szCs w:val="21"/>
        </w:rPr>
        <w:t>预付款：合同金额的</w:t>
      </w:r>
      <w:r>
        <w:rPr>
          <w:rFonts w:ascii="Times New Roman" w:hAnsi="Times New Roman"/>
          <w:bCs/>
          <w:sz w:val="24"/>
          <w:szCs w:val="21"/>
        </w:rPr>
        <w:t>10</w:t>
      </w:r>
      <w:r>
        <w:rPr>
          <w:rFonts w:hint="eastAsia" w:ascii="Times New Roman" w:hAnsi="Times New Roman"/>
          <w:bCs/>
          <w:sz w:val="24"/>
          <w:szCs w:val="21"/>
        </w:rPr>
        <w:t xml:space="preserve"> %，合同签订后按规定支付；</w:t>
      </w:r>
      <w:r>
        <w:rPr>
          <w:rFonts w:hint="eastAsia" w:ascii="Times New Roman" w:hAnsi="Times New Roman" w:eastAsia="仿宋_GB2312" w:cs="仿宋_GB2312"/>
          <w:sz w:val="24"/>
          <w:szCs w:val="21"/>
        </w:rPr>
        <w:t xml:space="preserve"> </w:t>
      </w:r>
    </w:p>
    <w:p w14:paraId="7EB21E25">
      <w:pPr>
        <w:spacing w:line="360" w:lineRule="auto"/>
        <w:ind w:firstLine="482"/>
        <w:rPr>
          <w:rFonts w:ascii="Times New Roman" w:hAnsi="Times New Roman"/>
          <w:bCs/>
          <w:sz w:val="24"/>
          <w:szCs w:val="21"/>
        </w:rPr>
      </w:pPr>
      <w:r>
        <w:rPr>
          <w:rFonts w:hint="eastAsia" w:ascii="Times New Roman" w:hAnsi="Times New Roman"/>
          <w:bCs/>
          <w:sz w:val="24"/>
          <w:szCs w:val="21"/>
        </w:rPr>
        <w:t>进度款：</w:t>
      </w:r>
      <w:r>
        <w:rPr>
          <w:rFonts w:hint="eastAsia" w:ascii="宋体" w:hAnsi="宋体" w:cs="宋体"/>
          <w:bCs/>
          <w:sz w:val="24"/>
          <w:szCs w:val="24"/>
        </w:rPr>
        <w:t>完成土样样品检测后</w:t>
      </w:r>
      <w:r>
        <w:rPr>
          <w:rFonts w:ascii="宋体" w:hAnsi="宋体" w:cs="宋体"/>
          <w:bCs/>
          <w:sz w:val="24"/>
          <w:szCs w:val="24"/>
        </w:rPr>
        <w:t>支付合同总价的60％</w:t>
      </w:r>
      <w:r>
        <w:rPr>
          <w:rFonts w:hint="eastAsia" w:ascii="Times New Roman" w:hAnsi="Times New Roman"/>
          <w:bCs/>
          <w:sz w:val="24"/>
          <w:szCs w:val="21"/>
        </w:rPr>
        <w:t>。</w:t>
      </w:r>
    </w:p>
    <w:p w14:paraId="5BA03380">
      <w:pPr>
        <w:spacing w:line="360" w:lineRule="auto"/>
        <w:ind w:firstLine="482"/>
        <w:rPr>
          <w:rFonts w:ascii="Times New Roman" w:hAnsi="Times New Roman"/>
          <w:bCs/>
          <w:sz w:val="24"/>
          <w:szCs w:val="21"/>
        </w:rPr>
      </w:pPr>
      <w:r>
        <w:rPr>
          <w:rFonts w:ascii="宋体" w:hAnsi="宋体" w:cs="宋体"/>
          <w:bCs/>
          <w:sz w:val="24"/>
          <w:szCs w:val="24"/>
        </w:rPr>
        <w:t>最终付款：</w:t>
      </w:r>
      <w:r>
        <w:rPr>
          <w:rFonts w:hint="eastAsia" w:ascii="宋体" w:hAnsi="宋体" w:cs="宋体"/>
          <w:bCs/>
          <w:sz w:val="24"/>
          <w:szCs w:val="24"/>
        </w:rPr>
        <w:t>项目完成并经省级专家评定后付清余款</w:t>
      </w:r>
      <w:r>
        <w:rPr>
          <w:rFonts w:ascii="宋体" w:hAnsi="宋体" w:cs="宋体"/>
          <w:bCs/>
          <w:sz w:val="24"/>
          <w:szCs w:val="24"/>
        </w:rPr>
        <w:t>。</w:t>
      </w:r>
    </w:p>
    <w:p w14:paraId="044FA503">
      <w:pPr>
        <w:spacing w:line="360" w:lineRule="auto"/>
        <w:ind w:firstLine="482"/>
        <w:rPr>
          <w:rFonts w:ascii="宋体" w:hAnsi="宋体" w:cs="仿宋_GB2312"/>
          <w:sz w:val="24"/>
          <w:szCs w:val="24"/>
        </w:rPr>
      </w:pPr>
      <w:r>
        <w:rPr>
          <w:rFonts w:hint="eastAsia" w:ascii="宋体" w:hAnsi="宋体" w:cs="仿宋_GB2312"/>
          <w:sz w:val="24"/>
          <w:szCs w:val="24"/>
        </w:rPr>
        <w:t>注：在签订合同时，中标人明确表示无需预付款或者主动要求降低预付款比例的金额，采购人可不适用预付款规定，（合同款可以采用数字人民币形式支付）。</w:t>
      </w:r>
    </w:p>
    <w:p w14:paraId="59ED708E">
      <w:pPr>
        <w:pStyle w:val="334"/>
        <w:tabs>
          <w:tab w:val="left" w:pos="753"/>
        </w:tabs>
        <w:spacing w:line="360" w:lineRule="auto"/>
        <w:rPr>
          <w:rFonts w:ascii="Times New Roman" w:hAnsi="Times New Roman"/>
          <w:b/>
          <w:sz w:val="24"/>
          <w:szCs w:val="24"/>
        </w:rPr>
      </w:pPr>
      <w:r>
        <w:rPr>
          <w:rFonts w:hint="eastAsia" w:ascii="Times New Roman" w:hAnsi="Times New Roman"/>
          <w:b/>
          <w:sz w:val="24"/>
          <w:szCs w:val="24"/>
        </w:rPr>
        <w:t>八 、安全责任</w:t>
      </w:r>
    </w:p>
    <w:p w14:paraId="261F12B9">
      <w:pPr>
        <w:pStyle w:val="334"/>
        <w:tabs>
          <w:tab w:val="left" w:pos="753"/>
        </w:tabs>
        <w:spacing w:line="360" w:lineRule="auto"/>
        <w:ind w:firstLine="480"/>
        <w:rPr>
          <w:rFonts w:ascii="宋体" w:hAnsi="宋体" w:cs="仿宋_GB2312"/>
          <w:sz w:val="24"/>
          <w:szCs w:val="24"/>
        </w:rPr>
      </w:pPr>
      <w:r>
        <w:rPr>
          <w:rFonts w:hint="eastAsia" w:ascii="宋体" w:hAnsi="宋体" w:cs="仿宋_GB2312"/>
          <w:sz w:val="24"/>
          <w:szCs w:val="24"/>
        </w:rPr>
        <w:t>1、乙方必须按安全操作规程要求进行管理，必须确保安全，对出现的各类安全事故负全部法律责任，并承担由此而发生的一切经济损失。</w:t>
      </w:r>
    </w:p>
    <w:p w14:paraId="399EA35E">
      <w:pPr>
        <w:pStyle w:val="334"/>
        <w:tabs>
          <w:tab w:val="left" w:pos="753"/>
        </w:tabs>
        <w:spacing w:line="360" w:lineRule="auto"/>
        <w:ind w:firstLine="480"/>
        <w:rPr>
          <w:rFonts w:ascii="宋体" w:hAnsi="宋体" w:cs="仿宋_GB2312"/>
          <w:sz w:val="24"/>
          <w:szCs w:val="24"/>
        </w:rPr>
      </w:pPr>
      <w:r>
        <w:rPr>
          <w:rFonts w:hint="eastAsia" w:ascii="宋体" w:hAnsi="宋体" w:cs="仿宋_GB2312"/>
          <w:sz w:val="24"/>
          <w:szCs w:val="24"/>
        </w:rPr>
        <w:t>2、如乙方发生安全事故不及时妥善处理，引起纠纷或诉讼，甲方有权扣留未付合同价款用于支付事故处理费用。</w:t>
      </w:r>
    </w:p>
    <w:p w14:paraId="0B927E49">
      <w:pPr>
        <w:pStyle w:val="334"/>
        <w:tabs>
          <w:tab w:val="left" w:pos="753"/>
        </w:tabs>
        <w:spacing w:line="360" w:lineRule="auto"/>
        <w:rPr>
          <w:rFonts w:ascii="Times New Roman" w:hAnsi="Times New Roman"/>
          <w:b/>
          <w:sz w:val="24"/>
          <w:szCs w:val="24"/>
        </w:rPr>
      </w:pPr>
      <w:r>
        <w:rPr>
          <w:rFonts w:hint="eastAsia" w:ascii="Times New Roman" w:hAnsi="Times New Roman"/>
          <w:b/>
          <w:sz w:val="24"/>
          <w:szCs w:val="24"/>
        </w:rPr>
        <w:t>九 、违约条款</w:t>
      </w:r>
    </w:p>
    <w:p w14:paraId="6C23999D">
      <w:pPr>
        <w:pStyle w:val="334"/>
        <w:tabs>
          <w:tab w:val="left" w:pos="753"/>
        </w:tabs>
        <w:spacing w:line="360" w:lineRule="auto"/>
        <w:ind w:firstLine="480"/>
        <w:rPr>
          <w:rFonts w:ascii="Times New Roman" w:hAnsi="Times New Roman"/>
          <w:bCs/>
          <w:sz w:val="24"/>
          <w:szCs w:val="24"/>
        </w:rPr>
      </w:pPr>
      <w:r>
        <w:rPr>
          <w:rFonts w:hint="eastAsia" w:ascii="Times New Roman" w:hAnsi="Times New Roman"/>
          <w:bCs/>
          <w:sz w:val="24"/>
          <w:szCs w:val="24"/>
        </w:rPr>
        <w:t>1、乙方不按期完成合同约定的内容，应向甲方支付违约金，除甲方或不可抗力造成原因外，甲方将从合同款中扣除误期赔偿费而不影响合同项目的其他补救方法，赔偿费按每天迟交未提供服务费用的 0.5%计收，直至提供服务为止违约金可从合同款中扣除，延期超过15日，甲方有权强制解除合同。</w:t>
      </w:r>
    </w:p>
    <w:p w14:paraId="3A97C89E">
      <w:pPr>
        <w:pStyle w:val="334"/>
        <w:tabs>
          <w:tab w:val="left" w:pos="753"/>
        </w:tabs>
        <w:spacing w:line="360" w:lineRule="auto"/>
        <w:ind w:firstLine="480"/>
        <w:rPr>
          <w:rFonts w:ascii="Times New Roman" w:hAnsi="Times New Roman"/>
          <w:bCs/>
          <w:sz w:val="24"/>
          <w:szCs w:val="24"/>
        </w:rPr>
      </w:pPr>
      <w:r>
        <w:rPr>
          <w:rFonts w:hint="eastAsia" w:ascii="Times New Roman" w:hAnsi="Times New Roman"/>
          <w:bCs/>
          <w:sz w:val="24"/>
          <w:szCs w:val="24"/>
        </w:rPr>
        <w:t>2、非因甲方原因，乙方不履行本合同规定的义务，致使工期延误，甲方有权要求其强制履行或解除合同，并要求乙方等额赔偿由此造成的一切损失。</w:t>
      </w:r>
    </w:p>
    <w:p w14:paraId="11A1A0B4">
      <w:pPr>
        <w:pStyle w:val="334"/>
        <w:tabs>
          <w:tab w:val="left" w:pos="753"/>
        </w:tabs>
        <w:spacing w:line="360" w:lineRule="auto"/>
        <w:ind w:firstLine="480"/>
        <w:rPr>
          <w:rFonts w:ascii="Times New Roman" w:hAnsi="Times New Roman"/>
          <w:bCs/>
          <w:sz w:val="24"/>
          <w:szCs w:val="24"/>
        </w:rPr>
      </w:pPr>
      <w:r>
        <w:rPr>
          <w:rFonts w:hint="eastAsia" w:ascii="Times New Roman" w:hAnsi="Times New Roman"/>
          <w:bCs/>
          <w:sz w:val="24"/>
          <w:szCs w:val="24"/>
        </w:rPr>
        <w:t>3、本项目不得转让分包，如有发生，甲方有权要求乙方无条件退场，由此造成的一切损失由乙方负责。</w:t>
      </w:r>
    </w:p>
    <w:p w14:paraId="7884DCFF">
      <w:pPr>
        <w:pStyle w:val="334"/>
        <w:tabs>
          <w:tab w:val="left" w:pos="753"/>
        </w:tabs>
        <w:spacing w:line="360" w:lineRule="auto"/>
        <w:ind w:firstLine="480"/>
        <w:rPr>
          <w:rFonts w:ascii="Times New Roman" w:hAnsi="Times New Roman"/>
          <w:bCs/>
          <w:sz w:val="24"/>
          <w:szCs w:val="24"/>
        </w:rPr>
      </w:pPr>
      <w:r>
        <w:rPr>
          <w:rFonts w:hint="eastAsia" w:ascii="Times New Roman" w:hAnsi="Times New Roman"/>
          <w:bCs/>
          <w:sz w:val="24"/>
          <w:szCs w:val="24"/>
        </w:rPr>
        <w:t>4、甲方迟延支付乙方款项的，应当支付逾期利息。双方对逾期利息的利率有约定的，约定利率不得低于合同订立时1年期贷款市场报价利率；未作约定的，按中国人民银行同期同类贷款基本利率支付逾期利息。</w:t>
      </w:r>
    </w:p>
    <w:p w14:paraId="22380E47">
      <w:pPr>
        <w:pStyle w:val="335"/>
        <w:spacing w:line="360" w:lineRule="auto"/>
        <w:outlineLvl w:val="4"/>
        <w:rPr>
          <w:rFonts w:ascii="宋体" w:hAnsi="宋体" w:cs="仿宋_GB2312"/>
          <w:sz w:val="24"/>
          <w:szCs w:val="24"/>
        </w:rPr>
      </w:pPr>
      <w:r>
        <w:rPr>
          <w:rFonts w:hint="eastAsia" w:ascii="宋体" w:hAnsi="宋体" w:cs="仿宋_GB2312"/>
          <w:b/>
          <w:bCs/>
          <w:sz w:val="24"/>
          <w:szCs w:val="24"/>
        </w:rPr>
        <w:t>十、知识产权</w:t>
      </w:r>
    </w:p>
    <w:p w14:paraId="549C2C1C">
      <w:pPr>
        <w:pStyle w:val="335"/>
        <w:spacing w:line="360" w:lineRule="auto"/>
        <w:ind w:firstLine="480"/>
        <w:outlineLvl w:val="4"/>
        <w:rPr>
          <w:rFonts w:ascii="宋体" w:hAnsi="宋体" w:cs="仿宋_GB2312"/>
          <w:sz w:val="24"/>
          <w:szCs w:val="24"/>
        </w:rPr>
      </w:pPr>
      <w:r>
        <w:rPr>
          <w:rFonts w:hint="eastAsia" w:ascii="宋体" w:hAnsi="宋体" w:cs="仿宋_GB2312"/>
          <w:sz w:val="24"/>
          <w:szCs w:val="24"/>
        </w:rPr>
        <w:t>乙方应保证甲方免除并承担由于甲方在其本国使用该项目时而引起第三方提出的侵犯专利权、知识产权或设计权的起诉、行动、行政程序索赔、请求等以及甲方为此而产生的损失和损害、费用和支出（包括律师费）。</w:t>
      </w:r>
    </w:p>
    <w:p w14:paraId="1A358BB6">
      <w:pPr>
        <w:pStyle w:val="335"/>
        <w:spacing w:line="360" w:lineRule="auto"/>
        <w:outlineLvl w:val="4"/>
        <w:rPr>
          <w:rFonts w:ascii="宋体" w:hAnsi="宋体" w:cs="仿宋_GB2312"/>
          <w:b/>
          <w:bCs/>
          <w:sz w:val="24"/>
          <w:szCs w:val="24"/>
        </w:rPr>
      </w:pPr>
      <w:r>
        <w:rPr>
          <w:rFonts w:hint="eastAsia" w:ascii="宋体" w:hAnsi="宋体" w:cs="仿宋_GB2312"/>
          <w:b/>
          <w:bCs/>
          <w:sz w:val="24"/>
          <w:szCs w:val="24"/>
        </w:rPr>
        <w:t>十一、税费</w:t>
      </w:r>
    </w:p>
    <w:p w14:paraId="796AB688">
      <w:pPr>
        <w:pStyle w:val="335"/>
        <w:spacing w:line="360" w:lineRule="auto"/>
        <w:ind w:firstLine="480"/>
        <w:outlineLvl w:val="4"/>
        <w:rPr>
          <w:rFonts w:ascii="宋体" w:hAnsi="宋体" w:cs="仿宋_GB2312"/>
          <w:sz w:val="24"/>
          <w:szCs w:val="24"/>
        </w:rPr>
      </w:pPr>
      <w:r>
        <w:rPr>
          <w:rFonts w:hint="eastAsia" w:ascii="宋体" w:hAnsi="宋体" w:cs="仿宋_GB2312"/>
          <w:sz w:val="24"/>
          <w:szCs w:val="24"/>
        </w:rPr>
        <w:t>中国政府根据现行税法规定对甲方征收的与本合同有关的一切税费由甲方负担规定；对乙方征收的与本合同有关的一切税费由乙方负担。</w:t>
      </w:r>
    </w:p>
    <w:p w14:paraId="670E3BAB">
      <w:pPr>
        <w:pStyle w:val="335"/>
        <w:spacing w:line="360" w:lineRule="auto"/>
        <w:outlineLvl w:val="4"/>
        <w:rPr>
          <w:rFonts w:ascii="宋体" w:hAnsi="宋体" w:cs="仿宋_GB2312"/>
          <w:b/>
          <w:bCs/>
          <w:sz w:val="24"/>
          <w:szCs w:val="24"/>
        </w:rPr>
      </w:pPr>
      <w:r>
        <w:rPr>
          <w:rFonts w:hint="eastAsia" w:ascii="宋体" w:hAnsi="宋体" w:cs="仿宋_GB2312"/>
          <w:b/>
          <w:bCs/>
          <w:sz w:val="24"/>
          <w:szCs w:val="24"/>
        </w:rPr>
        <w:t>十二、合同争议</w:t>
      </w:r>
    </w:p>
    <w:p w14:paraId="2A101F35">
      <w:pPr>
        <w:pStyle w:val="335"/>
        <w:spacing w:line="360" w:lineRule="auto"/>
        <w:ind w:firstLine="480"/>
        <w:outlineLvl w:val="4"/>
        <w:rPr>
          <w:rFonts w:ascii="宋体" w:hAnsi="宋体" w:cs="仿宋_GB2312"/>
          <w:sz w:val="24"/>
          <w:szCs w:val="24"/>
        </w:rPr>
      </w:pPr>
      <w:r>
        <w:rPr>
          <w:rFonts w:hint="eastAsia" w:ascii="宋体" w:hAnsi="宋体" w:cs="仿宋_GB2312"/>
          <w:sz w:val="24"/>
          <w:szCs w:val="24"/>
        </w:rPr>
        <w:t xml:space="preserve">甲乙双方应通过友好协商，解决在执行本合同中所发生的或与本合同有关的一切争议。如果协商仍得不到解决，任何一方均可按有关法律法规的规定提交调解和仲裁。  </w:t>
      </w:r>
    </w:p>
    <w:p w14:paraId="56E1B451">
      <w:pPr>
        <w:pStyle w:val="335"/>
        <w:spacing w:line="360" w:lineRule="auto"/>
        <w:outlineLvl w:val="4"/>
        <w:rPr>
          <w:rFonts w:ascii="宋体" w:hAnsi="宋体" w:cs="仿宋_GB2312"/>
          <w:b/>
          <w:bCs/>
          <w:sz w:val="24"/>
          <w:szCs w:val="24"/>
        </w:rPr>
      </w:pPr>
      <w:r>
        <w:rPr>
          <w:rFonts w:hint="eastAsia" w:ascii="宋体" w:hAnsi="宋体" w:cs="仿宋_GB2312"/>
          <w:b/>
          <w:bCs/>
          <w:sz w:val="24"/>
          <w:szCs w:val="24"/>
        </w:rPr>
        <w:t>十三、合同生效及审核</w:t>
      </w:r>
    </w:p>
    <w:p w14:paraId="68E00A85">
      <w:pPr>
        <w:pStyle w:val="335"/>
        <w:spacing w:line="360" w:lineRule="auto"/>
        <w:ind w:firstLine="480"/>
        <w:outlineLvl w:val="4"/>
        <w:rPr>
          <w:rFonts w:ascii="宋体" w:hAnsi="宋体" w:cs="仿宋_GB2312"/>
          <w:sz w:val="24"/>
          <w:szCs w:val="24"/>
        </w:rPr>
      </w:pPr>
      <w:r>
        <w:rPr>
          <w:rFonts w:hint="eastAsia" w:ascii="宋体" w:hAnsi="宋体" w:cs="仿宋_GB2312"/>
          <w:sz w:val="24"/>
          <w:szCs w:val="24"/>
        </w:rPr>
        <w:t>本合同经甲方、乙方签字盖章后生效，合同签订的内容不能超出招标文件和投标文件的实质性内容。本合同一式陆份，以中文书写。</w:t>
      </w:r>
    </w:p>
    <w:p w14:paraId="6E26B080">
      <w:pPr>
        <w:pStyle w:val="335"/>
        <w:spacing w:line="360" w:lineRule="auto"/>
        <w:outlineLvl w:val="4"/>
        <w:rPr>
          <w:rFonts w:ascii="宋体" w:hAnsi="宋体" w:cs="仿宋_GB2312"/>
          <w:b/>
          <w:bCs/>
          <w:sz w:val="24"/>
          <w:szCs w:val="24"/>
        </w:rPr>
      </w:pPr>
      <w:r>
        <w:rPr>
          <w:rFonts w:hint="eastAsia" w:ascii="宋体" w:hAnsi="宋体" w:cs="仿宋_GB2312"/>
          <w:b/>
          <w:bCs/>
          <w:sz w:val="24"/>
          <w:szCs w:val="24"/>
        </w:rPr>
        <w:t>十四、合同的组成部分</w:t>
      </w:r>
    </w:p>
    <w:p w14:paraId="40AE4823">
      <w:pPr>
        <w:pStyle w:val="335"/>
        <w:spacing w:line="360" w:lineRule="auto"/>
        <w:ind w:firstLine="480"/>
        <w:outlineLvl w:val="4"/>
        <w:rPr>
          <w:rFonts w:ascii="宋体" w:hAnsi="宋体" w:cs="仿宋_GB2312"/>
          <w:sz w:val="24"/>
          <w:szCs w:val="24"/>
        </w:rPr>
      </w:pPr>
      <w:r>
        <w:rPr>
          <w:rFonts w:hint="eastAsia" w:ascii="宋体" w:hAnsi="宋体" w:cs="仿宋_GB2312"/>
          <w:sz w:val="24"/>
          <w:szCs w:val="24"/>
        </w:rPr>
        <w:t>本合同条款、中标通知书、招标文件、投标文件及投标人在开标时的书面承诺等构成合同的组成部分。</w:t>
      </w:r>
    </w:p>
    <w:p w14:paraId="4216E29D">
      <w:pPr>
        <w:pStyle w:val="335"/>
        <w:spacing w:line="360" w:lineRule="auto"/>
        <w:ind w:firstLine="480"/>
        <w:outlineLvl w:val="4"/>
        <w:rPr>
          <w:rFonts w:ascii="宋体" w:hAnsi="宋体" w:cs="仿宋_GB2312"/>
          <w:sz w:val="24"/>
          <w:szCs w:val="24"/>
        </w:rPr>
      </w:pPr>
      <w:r>
        <w:rPr>
          <w:rFonts w:hint="eastAsia" w:ascii="宋体" w:hAnsi="宋体" w:cs="仿宋_GB2312"/>
          <w:sz w:val="24"/>
          <w:szCs w:val="24"/>
        </w:rPr>
        <w:t>本合同一切未尽事宜，按民法典有关规定执行，无相关规定的，由甲乙双方协商解决。</w:t>
      </w:r>
    </w:p>
    <w:p w14:paraId="498E7F50">
      <w:pPr>
        <w:pStyle w:val="335"/>
        <w:spacing w:line="360" w:lineRule="auto"/>
        <w:outlineLvl w:val="4"/>
        <w:rPr>
          <w:rFonts w:ascii="宋体" w:hAnsi="宋体" w:cs="仿宋_GB2312"/>
          <w:b/>
          <w:bCs/>
          <w:sz w:val="24"/>
          <w:szCs w:val="24"/>
        </w:rPr>
      </w:pPr>
      <w:r>
        <w:rPr>
          <w:rFonts w:hint="eastAsia" w:ascii="宋体" w:hAnsi="宋体" w:cs="仿宋_GB2312"/>
          <w:b/>
          <w:bCs/>
          <w:sz w:val="24"/>
          <w:szCs w:val="24"/>
        </w:rPr>
        <w:t>十五、适用法律</w:t>
      </w:r>
    </w:p>
    <w:p w14:paraId="7C643288">
      <w:pPr>
        <w:pStyle w:val="335"/>
        <w:spacing w:line="360" w:lineRule="auto"/>
        <w:ind w:firstLine="480"/>
        <w:outlineLvl w:val="4"/>
        <w:rPr>
          <w:rFonts w:ascii="宋体" w:hAnsi="宋体" w:cs="仿宋_GB2312"/>
          <w:sz w:val="24"/>
          <w:szCs w:val="24"/>
        </w:rPr>
      </w:pPr>
      <w:r>
        <w:rPr>
          <w:rFonts w:hint="eastAsia" w:ascii="宋体" w:hAnsi="宋体" w:cs="仿宋_GB2312"/>
          <w:sz w:val="24"/>
          <w:szCs w:val="24"/>
        </w:rPr>
        <w:t>本合同应按照中华人民共和国的现行法律进行解释。</w:t>
      </w:r>
    </w:p>
    <w:p w14:paraId="4887699F">
      <w:pPr>
        <w:pStyle w:val="335"/>
        <w:spacing w:line="360" w:lineRule="auto"/>
        <w:ind w:firstLine="240"/>
        <w:jc w:val="left"/>
        <w:outlineLvl w:val="4"/>
        <w:rPr>
          <w:rFonts w:ascii="宋体" w:hAnsi="宋体" w:cs="仿宋_GB2312"/>
          <w:sz w:val="24"/>
          <w:szCs w:val="24"/>
        </w:rPr>
      </w:pPr>
    </w:p>
    <w:p w14:paraId="0C04A2FD">
      <w:pPr>
        <w:pStyle w:val="335"/>
        <w:spacing w:line="360" w:lineRule="auto"/>
        <w:ind w:firstLine="240"/>
        <w:jc w:val="left"/>
        <w:outlineLvl w:val="4"/>
        <w:rPr>
          <w:rFonts w:ascii="宋体" w:hAnsi="宋体" w:cs="仿宋_GB2312"/>
          <w:sz w:val="24"/>
          <w:szCs w:val="24"/>
        </w:rPr>
      </w:pPr>
      <w:r>
        <w:rPr>
          <w:rFonts w:hint="eastAsia" w:ascii="宋体" w:hAnsi="宋体" w:cs="仿宋_GB2312"/>
          <w:sz w:val="24"/>
          <w:szCs w:val="24"/>
        </w:rPr>
        <w:t xml:space="preserve">甲方：         （盖章）               乙方：        （盖章）      </w:t>
      </w:r>
    </w:p>
    <w:p w14:paraId="11F5A0DC">
      <w:pPr>
        <w:pStyle w:val="335"/>
        <w:tabs>
          <w:tab w:val="right" w:pos="9514"/>
        </w:tabs>
        <w:spacing w:line="360" w:lineRule="auto"/>
        <w:ind w:firstLine="240"/>
        <w:jc w:val="left"/>
        <w:outlineLvl w:val="4"/>
        <w:rPr>
          <w:rFonts w:ascii="宋体" w:hAnsi="宋体" w:cs="仿宋_GB2312"/>
          <w:sz w:val="24"/>
          <w:szCs w:val="24"/>
        </w:rPr>
      </w:pPr>
      <w:r>
        <w:rPr>
          <w:rFonts w:hint="eastAsia" w:ascii="宋体" w:hAnsi="宋体" w:cs="仿宋_GB2312"/>
          <w:sz w:val="24"/>
          <w:szCs w:val="24"/>
        </w:rPr>
        <w:t xml:space="preserve">地址： </w:t>
      </w:r>
      <w:r>
        <w:rPr>
          <w:rFonts w:ascii="宋体" w:hAnsi="宋体" w:cs="仿宋_GB2312"/>
          <w:sz w:val="24"/>
          <w:szCs w:val="24"/>
        </w:rPr>
        <w:t xml:space="preserve">                     </w:t>
      </w:r>
      <w:r>
        <w:rPr>
          <w:rFonts w:hint="eastAsia" w:ascii="宋体" w:hAnsi="宋体" w:cs="仿宋_GB2312"/>
          <w:sz w:val="24"/>
          <w:szCs w:val="24"/>
        </w:rPr>
        <w:t xml:space="preserve">          地址：</w:t>
      </w:r>
      <w:r>
        <w:rPr>
          <w:rFonts w:hint="eastAsia" w:ascii="宋体" w:hAnsi="宋体" w:cs="仿宋_GB2312"/>
          <w:sz w:val="24"/>
          <w:szCs w:val="24"/>
        </w:rPr>
        <w:tab/>
      </w:r>
    </w:p>
    <w:p w14:paraId="104A8EE6">
      <w:pPr>
        <w:pStyle w:val="335"/>
        <w:tabs>
          <w:tab w:val="right" w:pos="9514"/>
        </w:tabs>
        <w:spacing w:line="360" w:lineRule="auto"/>
        <w:ind w:firstLine="240"/>
        <w:jc w:val="left"/>
        <w:outlineLvl w:val="4"/>
        <w:rPr>
          <w:rFonts w:ascii="宋体" w:hAnsi="宋体" w:cs="仿宋_GB2312"/>
          <w:sz w:val="24"/>
          <w:szCs w:val="24"/>
        </w:rPr>
      </w:pPr>
      <w:r>
        <w:rPr>
          <w:rFonts w:hint="eastAsia" w:ascii="宋体" w:hAnsi="宋体" w:cs="仿宋_GB2312"/>
          <w:sz w:val="24"/>
          <w:szCs w:val="24"/>
        </w:rPr>
        <w:t xml:space="preserve">法定（授权）代表人：                  法定（授权）代表人：               </w:t>
      </w:r>
    </w:p>
    <w:p w14:paraId="6213CBC7">
      <w:pPr>
        <w:pStyle w:val="335"/>
        <w:tabs>
          <w:tab w:val="right" w:pos="9514"/>
        </w:tabs>
        <w:spacing w:line="360" w:lineRule="auto"/>
        <w:ind w:firstLine="240"/>
        <w:jc w:val="left"/>
        <w:outlineLvl w:val="4"/>
        <w:rPr>
          <w:rFonts w:ascii="宋体" w:hAnsi="宋体" w:cs="仿宋_GB2312"/>
          <w:sz w:val="24"/>
          <w:szCs w:val="24"/>
        </w:rPr>
      </w:pPr>
      <w:r>
        <w:rPr>
          <w:rFonts w:hint="eastAsia" w:ascii="宋体" w:hAnsi="宋体" w:cs="仿宋_GB2312"/>
          <w:sz w:val="24"/>
          <w:szCs w:val="24"/>
        </w:rPr>
        <w:t xml:space="preserve">联系人： </w:t>
      </w:r>
      <w:r>
        <w:rPr>
          <w:rFonts w:ascii="宋体" w:hAnsi="宋体" w:cs="仿宋_GB2312"/>
          <w:sz w:val="24"/>
          <w:szCs w:val="24"/>
        </w:rPr>
        <w:t xml:space="preserve"> </w:t>
      </w:r>
      <w:r>
        <w:rPr>
          <w:rFonts w:hint="eastAsia" w:ascii="宋体" w:hAnsi="宋体" w:cs="仿宋_GB2312"/>
          <w:sz w:val="24"/>
          <w:szCs w:val="24"/>
        </w:rPr>
        <w:t xml:space="preserve">               </w:t>
      </w:r>
      <w:r>
        <w:rPr>
          <w:rFonts w:ascii="宋体" w:hAnsi="宋体" w:cs="仿宋_GB2312"/>
          <w:sz w:val="24"/>
          <w:szCs w:val="24"/>
        </w:rPr>
        <w:t xml:space="preserve">            </w:t>
      </w:r>
      <w:r>
        <w:rPr>
          <w:rFonts w:hint="eastAsia" w:ascii="宋体" w:hAnsi="宋体" w:cs="仿宋_GB2312"/>
          <w:sz w:val="24"/>
          <w:szCs w:val="24"/>
        </w:rPr>
        <w:t xml:space="preserve"> 联系人：     </w:t>
      </w:r>
    </w:p>
    <w:p w14:paraId="171931FF">
      <w:pPr>
        <w:pStyle w:val="335"/>
        <w:spacing w:line="360" w:lineRule="auto"/>
        <w:ind w:firstLine="240"/>
        <w:jc w:val="left"/>
        <w:outlineLvl w:val="4"/>
        <w:rPr>
          <w:rFonts w:ascii="宋体" w:hAnsi="宋体" w:cs="仿宋_GB2312"/>
          <w:sz w:val="24"/>
          <w:szCs w:val="24"/>
        </w:rPr>
      </w:pPr>
      <w:r>
        <w:rPr>
          <w:rFonts w:hint="eastAsia" w:ascii="宋体" w:hAnsi="宋体" w:cs="仿宋_GB2312"/>
          <w:sz w:val="24"/>
          <w:szCs w:val="24"/>
        </w:rPr>
        <w:t xml:space="preserve">联系电话：                            联系电话： </w:t>
      </w:r>
    </w:p>
    <w:p w14:paraId="0EE1F1FE">
      <w:pPr>
        <w:pStyle w:val="335"/>
        <w:spacing w:line="360" w:lineRule="auto"/>
        <w:ind w:firstLine="240"/>
        <w:jc w:val="center"/>
        <w:outlineLvl w:val="4"/>
        <w:rPr>
          <w:rFonts w:ascii="Times New Roman" w:hAnsi="Times New Roman"/>
          <w:bCs/>
          <w:sz w:val="44"/>
          <w:szCs w:val="21"/>
        </w:rPr>
      </w:pPr>
      <w:r>
        <w:rPr>
          <w:rFonts w:hint="eastAsia" w:ascii="宋体" w:hAnsi="宋体" w:cs="仿宋_GB2312"/>
          <w:sz w:val="24"/>
          <w:szCs w:val="24"/>
        </w:rPr>
        <w:t xml:space="preserve">年  月  日                           年  月  日   </w:t>
      </w:r>
      <w:r>
        <w:rPr>
          <w:rFonts w:ascii="Times New Roman" w:hAnsi="Times New Roman"/>
          <w:bCs/>
          <w:sz w:val="44"/>
          <w:szCs w:val="21"/>
        </w:rPr>
        <w:br w:type="page" w:clear="all"/>
      </w:r>
      <w:r>
        <w:rPr>
          <w:rFonts w:ascii="Times New Roman" w:hAnsi="Times New Roman"/>
          <w:b/>
          <w:sz w:val="44"/>
          <w:szCs w:val="44"/>
        </w:rPr>
        <w:t>第</w:t>
      </w:r>
      <w:bookmarkEnd w:id="206"/>
      <w:r>
        <w:rPr>
          <w:rFonts w:ascii="Times New Roman" w:hAnsi="Times New Roman"/>
          <w:b/>
          <w:sz w:val="44"/>
          <w:szCs w:val="44"/>
        </w:rPr>
        <w:t>四章  采购需求</w:t>
      </w:r>
      <w:bookmarkEnd w:id="207"/>
      <w:bookmarkEnd w:id="208"/>
      <w:bookmarkEnd w:id="209"/>
      <w:bookmarkStart w:id="212" w:name="_Toc49090575"/>
      <w:bookmarkStart w:id="213" w:name="_Toc26554093"/>
    </w:p>
    <w:p w14:paraId="572624F9">
      <w:pPr>
        <w:pStyle w:val="335"/>
        <w:spacing w:line="360" w:lineRule="auto"/>
        <w:ind w:firstLine="480"/>
        <w:outlineLvl w:val="4"/>
        <w:rPr>
          <w:rFonts w:hint="eastAsia" w:ascii="宋体" w:hAnsi="宋体" w:cs="仿宋_GB2312"/>
          <w:sz w:val="24"/>
          <w:szCs w:val="24"/>
        </w:rPr>
      </w:pPr>
      <w:bookmarkStart w:id="214" w:name="_Toc120614281"/>
      <w:r>
        <w:rPr>
          <w:rFonts w:hint="eastAsia" w:ascii="宋体" w:hAnsi="宋体" w:cs="仿宋_GB2312"/>
          <w:sz w:val="24"/>
          <w:szCs w:val="24"/>
        </w:rPr>
        <w:t>项目属性：服务类项目</w:t>
      </w:r>
    </w:p>
    <w:p w14:paraId="240DFE96">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本项目采购标的对应的中小企业划分标准所属行业：其他未列明行业</w:t>
      </w:r>
    </w:p>
    <w:p w14:paraId="1A1F7B9B">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本项目不接受进口产品</w:t>
      </w:r>
    </w:p>
    <w:p w14:paraId="07E69E65">
      <w:pPr>
        <w:spacing w:line="360" w:lineRule="auto"/>
        <w:rPr>
          <w:rFonts w:ascii="Times New Roman" w:hAnsi="Times New Roman"/>
          <w:b/>
          <w:bCs/>
          <w:sz w:val="28"/>
          <w:szCs w:val="28"/>
        </w:rPr>
      </w:pPr>
      <w:r>
        <w:rPr>
          <w:rFonts w:hint="eastAsia" w:ascii="Times New Roman" w:hAnsi="Times New Roman"/>
          <w:b/>
          <w:bCs/>
          <w:sz w:val="28"/>
          <w:szCs w:val="28"/>
        </w:rPr>
        <w:t>一、项目概况：</w:t>
      </w:r>
    </w:p>
    <w:p w14:paraId="3E865F2C">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1.项目名称：2026年度泗阳县补充耕地质量评定项目</w:t>
      </w:r>
    </w:p>
    <w:p w14:paraId="4B93ADE1">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2.预算金额：采购包1：108.25万元</w:t>
      </w:r>
    </w:p>
    <w:p w14:paraId="0CAFB752">
      <w:pPr>
        <w:pStyle w:val="335"/>
        <w:spacing w:line="360" w:lineRule="auto"/>
        <w:ind w:firstLine="480"/>
        <w:outlineLvl w:val="4"/>
        <w:rPr>
          <w:rFonts w:hint="eastAsia" w:ascii="宋体" w:hAnsi="宋体" w:eastAsia="宋体" w:cs="仿宋_GB2312"/>
          <w:sz w:val="24"/>
          <w:szCs w:val="24"/>
          <w:lang w:eastAsia="zh-CN"/>
        </w:rPr>
      </w:pPr>
      <w:r>
        <w:rPr>
          <w:rFonts w:hint="eastAsia" w:ascii="宋体" w:hAnsi="宋体" w:cs="仿宋_GB2312"/>
          <w:sz w:val="24"/>
          <w:szCs w:val="24"/>
        </w:rPr>
        <w:t>3.本项目设定最高限价，采购包1：本项目单价最高限价为350元/亩；高于此限价按无效投标处理。</w:t>
      </w:r>
    </w:p>
    <w:p w14:paraId="2240537F">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 xml:space="preserve">4.采购需求：为顺利推进2026年度泗阳县补充耕地质量评定项目，泗阳县农业技术推广中心拟委托第三方机构开展上述工作，预计申报约6186亩左右，根据项目实际情况，将本项目分为两个采购包，本次采购的为采购包1：2026年度泗阳县补充耕地质量评定项目（分包一），预计申报约3093亩（最终工作量以实际发生为准），详细内容见本招标文件第四章采购需求。 </w:t>
      </w:r>
    </w:p>
    <w:p w14:paraId="1FBA9D09">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5.合同履行期限：合同生效之日起4个月。</w:t>
      </w:r>
    </w:p>
    <w:p w14:paraId="7FBC89E2">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6.付款方式：</w:t>
      </w:r>
    </w:p>
    <w:p w14:paraId="6AAAA2D4">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 xml:space="preserve">预付款：合同金额的10 %，合同签订后按规定支付； </w:t>
      </w:r>
    </w:p>
    <w:p w14:paraId="3B61545C">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进度款：完成土样样品检测后支付合同总价的60％。</w:t>
      </w:r>
    </w:p>
    <w:p w14:paraId="5088A8B4">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最终付款：项目完成并经省级专家评定后付清余款。</w:t>
      </w:r>
    </w:p>
    <w:p w14:paraId="2AC2187B">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注：在签订合同时，供应商明确表示无需预付款或者主动要求降低预付款比例的，采购人可不适用预付规定，合同款可以采用数字人民币形式支付。</w:t>
      </w:r>
    </w:p>
    <w:p w14:paraId="5105677B">
      <w:pPr>
        <w:spacing w:line="360" w:lineRule="auto"/>
        <w:rPr>
          <w:rFonts w:ascii="Times New Roman" w:hAnsi="Times New Roman"/>
          <w:b/>
          <w:bCs/>
          <w:sz w:val="28"/>
          <w:szCs w:val="28"/>
        </w:rPr>
      </w:pPr>
      <w:r>
        <w:rPr>
          <w:rFonts w:hint="eastAsia" w:ascii="Times New Roman" w:hAnsi="Times New Roman"/>
          <w:b/>
          <w:bCs/>
          <w:sz w:val="28"/>
          <w:szCs w:val="28"/>
        </w:rPr>
        <w:t>二、服务内容及工作要求</w:t>
      </w:r>
    </w:p>
    <w:p w14:paraId="3479F892">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（一）工作内容</w:t>
      </w:r>
    </w:p>
    <w:p w14:paraId="7FCDAD0E">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根据《江苏省补充耕地质量验收实施细则（试行）》和《江苏省补充耕地质量鉴定技术规程（试行）》要求开展补充耕地质量鉴定工作，包括但不限于以下工作：</w:t>
      </w:r>
    </w:p>
    <w:p w14:paraId="19A7C797">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1、资料收集与审核：整理打印全套申请评定资料、审核资料的合规性和完整性、根据省级相关要求开展系统数据填报录入工作、形成一套完整的验收资料等；</w:t>
      </w:r>
    </w:p>
    <w:p w14:paraId="576B61E2">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2、评价单元划分：评价单元的划定原则：要具备科学性、代表性。应遵循地形部位、土壤类型、补充耕地来源、农田基础设施、土地利用方式、行政区划等因素相对一致的原则，并考虑集中连片程度等因素。其中，补充耕地来源分为恢复、垦造；土地利用方式按《国土空间调查、规划、用途管制用地用海分类指南》分为水田、旱地、水浇地。</w:t>
      </w:r>
    </w:p>
    <w:p w14:paraId="15E4AC0B">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3、踏勘布点：每个评价单元原则上布设不少于3个点位，当评价单元内有多个图斑时，每个图斑均应布设不少于1个点位。单个图斑面积大于200亩的，每200亩加密布设不少于1个点位，200亩内地形条件变化较大的，加密布设不少于2个点位。按照网格法将评价单元划分为不少于布点数量的均匀网格，在网格节点或中心点布设点位，使各点位在评价单元内均匀分布。布设点位应避免布设在沟渠、田坎和道路等位置。在遵循上述布点方法时，实地踏勘中如明确发现评价单元内踏勘点位以外的区域存在问题，应针对问题区域进行调查，并记录。</w:t>
      </w:r>
    </w:p>
    <w:p w14:paraId="4EE43580">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4、现场初步踏勘：每个踏勘小组由踏勘专家、建设方、现场调查人员、司机组成，中标单位提供车辆；实地踏勘应覆盖所有图斑。踏勘内容主要包括农业生产符合性评价指标和耕地质量等级评价指标，并做好实地踏勘记录。</w:t>
      </w:r>
    </w:p>
    <w:p w14:paraId="16100552">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5、土样采集：依照省级文件要求开展采样工作。一般表层土壤混合样品采集，在评价单元踏勘布点的每个点位上，采取挖掘法或土钻法采集等量土壤分样点样品，采样深度为0～20cm 。采集过程中应去除地表秸秆与砾石等。将单个评价单元内所有点位采集的土壤分样点样品堆放于聚乙烯塑料布上面，去除明显根系后，充分混匀，然后采取“ 四分法”去除多余样品，留取以风干重计不少于1kg（建议留取鲜样1.5kg）的土壤混合样品。涉及土壤污染状况指标测定的表层土壤混合样品，根据省级文件要求进行采集。</w:t>
      </w:r>
    </w:p>
    <w:p w14:paraId="47F17AE2">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7、土壤样品检测：农业生产符合性评价踏勘指标合格后，再开展土壤检测工作。检测时，优先开展农业生产符合性评价指标检测。农业生产符合性评价指标检测结果不合格的，不再开展其他指标检测。</w:t>
      </w:r>
    </w:p>
    <w:p w14:paraId="076591B9">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（一）土壤样品检测项目按照以下原则确定：</w:t>
      </w:r>
    </w:p>
    <w:p w14:paraId="07557CA9">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（1）必测项目为pH 值、容重、有机质、全氮、有效磷、速效钾、土壤质地相关的机械组成；</w:t>
      </w:r>
    </w:p>
    <w:p w14:paraId="75DDC12E">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（2）对可能受污染的地块针对污染因子选择检测相关项目；</w:t>
      </w:r>
    </w:p>
    <w:p w14:paraId="3EF93F63">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（二）检测机构相关要求：</w:t>
      </w:r>
    </w:p>
    <w:p w14:paraId="242D5ECA">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（1）检测机构应具备CMA资质、信誉良好、有土壤检测经历。</w:t>
      </w:r>
    </w:p>
    <w:p w14:paraId="68946955">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（2）同一检测机构不得参与不同层级的同一地块补充耕地质量鉴定检测任务。</w:t>
      </w:r>
    </w:p>
    <w:p w14:paraId="25F90EEC">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（3）检测机构应根据相关管理办法、标准等制定补充耕地质量鉴定样品检测质量控制方案，主动配合农业农村主管部门开展的质控与检查，并对质控与检查中发现的问题及时进行整改。</w:t>
      </w:r>
    </w:p>
    <w:p w14:paraId="7FF4F282">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（4）留存样品至少保存1年，保存期满后，应移交农业农村主管部门处理或由农业农村主管部门授权处理。</w:t>
      </w:r>
    </w:p>
    <w:p w14:paraId="4276DB2D">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（5）所有样品制备过程均应于监控设备下进行，监控视频保存不少于一年。</w:t>
      </w:r>
    </w:p>
    <w:p w14:paraId="36328853">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8、照片采集要求：实地踏勘和土壤样品采集均应采集举证照片。举证照片应有经纬度坐标、海拔高度、拍摄时间等水印信息，举证照片与记录表填写的信息应保持一致。</w:t>
      </w:r>
    </w:p>
    <w:p w14:paraId="4571B401">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（1）景观照片采集</w:t>
      </w:r>
    </w:p>
    <w:p w14:paraId="627A6783">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在每个踏勘点附近拍摄景观照片。景观照片应着重体现样点地形地貌、植被景观、土地利用现状、地表特征、水资源保障条件、排水条件、道路通行条件等特征。其中，对存在可能影响符合性评价结论的问题特征应予重点采集。</w:t>
      </w:r>
    </w:p>
    <w:p w14:paraId="42A5313D">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（2）采样照片采集</w:t>
      </w:r>
    </w:p>
    <w:p w14:paraId="608D2F81">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应拍摄现场工作照、剖面照或土钻断面照、土壤混合样品采集照、四分法工作照、土壤容重样品采集照、样品封存照等。</w:t>
      </w:r>
    </w:p>
    <w:p w14:paraId="16C9B6D7">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9、开展耕地质量鉴定评价：</w:t>
      </w:r>
    </w:p>
    <w:p w14:paraId="6F208063">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开展农业生产符合性评价：评价指标包括但不限于地形坡度、田面平整度、土壤侵入体及砾石含量、有效土层厚度、道路通行条件、水资源保障条件、排水能力、土壤有机质含量、土壤污染状况等。农业生产符合性评价指标中有一项不达标的，评价结果即为不合格。农业生产符合性评价不合格的，不开展耕地质量等级评价。</w:t>
      </w:r>
    </w:p>
    <w:p w14:paraId="5C537A8A">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2）耕地质量等级评价：按照《第三次全国土壤普查耕地质量等级评价技术规范》开展耕地质量等级评价，江苏省耕地质量等级评价指标共12个：分别是有机质、排水能力、水资源条件、地形部位、耕层质地、速效钾、有效磷、土壤容重、质地构型、酸碱度、耕层厚度、有效土层厚度。</w:t>
      </w:r>
    </w:p>
    <w:p w14:paraId="282991C0">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10、评定会议：组织不少于5名省市级专家开展县级验收，出具县级补充耕地质量鉴定意见包括但不限于补充耕地基本信息、鉴定组织实施情况、鉴定主要环节分析说明、初步鉴定结论、异议及特殊情况说明、建议以及必要的附件等。</w:t>
      </w:r>
    </w:p>
    <w:p w14:paraId="35B7225A">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11、中标单位在市级专家踏勘前组织工作人员进行前期踏勘，要求不合格的地块进行整改，降低初次专家踏勘不合格率。如专家初次踏勘不合格，中标单位需承担第2次踏勘费用；初次土壤检测不合格，中标单位需承担第2次检测费用。</w:t>
      </w:r>
    </w:p>
    <w:p w14:paraId="272F03D8">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12、项目开展期间中标企业需派驻包含1名项目负责人在内的不少于3人以上项目小组在泗阳办公。</w:t>
      </w:r>
    </w:p>
    <w:p w14:paraId="3833EC1C">
      <w:pPr>
        <w:spacing w:line="360" w:lineRule="auto"/>
        <w:ind w:firstLine="241"/>
        <w:rPr>
          <w:rFonts w:ascii="宋体" w:hAnsi="宋体" w:cs="宋体"/>
          <w:b/>
          <w:bCs/>
          <w:sz w:val="24"/>
          <w:szCs w:val="24"/>
        </w:rPr>
      </w:pPr>
      <w:r>
        <w:rPr>
          <w:rFonts w:hint="eastAsia" w:ascii="宋体" w:hAnsi="宋体" w:cs="宋体"/>
          <w:b/>
          <w:sz w:val="24"/>
          <w:szCs w:val="24"/>
        </w:rPr>
        <w:t>（二）服务清单</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5"/>
        <w:gridCol w:w="2188"/>
        <w:gridCol w:w="3587"/>
        <w:gridCol w:w="654"/>
        <w:gridCol w:w="1436"/>
        <w:gridCol w:w="709"/>
      </w:tblGrid>
      <w:tr w14:paraId="31BE0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exact"/>
        </w:trPr>
        <w:tc>
          <w:tcPr>
            <w:tcW w:w="465" w:type="dxa"/>
            <w:tcBorders>
              <w:top w:val="single" w:color="auto" w:sz="4" w:space="0"/>
              <w:left w:val="single" w:color="auto" w:sz="4" w:space="0"/>
              <w:bottom w:val="single" w:color="auto" w:sz="4" w:space="0"/>
              <w:right w:val="single" w:color="auto" w:sz="4" w:space="0"/>
            </w:tcBorders>
            <w:noWrap w:val="0"/>
            <w:vAlign w:val="center"/>
          </w:tcPr>
          <w:p w14:paraId="4C837B7D">
            <w:pPr>
              <w:spacing w:line="360" w:lineRule="auto"/>
              <w:jc w:val="center"/>
              <w:rPr>
                <w:rFonts w:ascii="宋体" w:hAnsi="宋体" w:cs="宋体"/>
                <w:b/>
                <w:bCs/>
                <w:sz w:val="24"/>
                <w:szCs w:val="24"/>
              </w:rPr>
            </w:pPr>
            <w:r>
              <w:rPr>
                <w:rFonts w:hint="eastAsia" w:ascii="宋体" w:hAnsi="宋体" w:cs="宋体"/>
                <w:b/>
                <w:bCs/>
                <w:sz w:val="24"/>
                <w:szCs w:val="24"/>
              </w:rPr>
              <w:t>序号</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39562CE8">
            <w:pPr>
              <w:spacing w:line="360" w:lineRule="auto"/>
              <w:jc w:val="center"/>
              <w:rPr>
                <w:rFonts w:ascii="宋体" w:hAnsi="宋体" w:cs="宋体"/>
                <w:b/>
                <w:bCs/>
                <w:sz w:val="24"/>
                <w:szCs w:val="24"/>
              </w:rPr>
            </w:pPr>
            <w:r>
              <w:rPr>
                <w:rFonts w:hint="eastAsia" w:ascii="宋体" w:hAnsi="宋体" w:cs="宋体"/>
                <w:b/>
                <w:bCs/>
                <w:sz w:val="24"/>
                <w:szCs w:val="24"/>
              </w:rPr>
              <w:t>名称</w:t>
            </w:r>
          </w:p>
        </w:tc>
        <w:tc>
          <w:tcPr>
            <w:tcW w:w="3587" w:type="dxa"/>
            <w:tcBorders>
              <w:top w:val="single" w:color="auto" w:sz="4" w:space="0"/>
              <w:left w:val="single" w:color="auto" w:sz="4" w:space="0"/>
              <w:bottom w:val="single" w:color="auto" w:sz="4" w:space="0"/>
              <w:right w:val="single" w:color="auto" w:sz="4" w:space="0"/>
            </w:tcBorders>
            <w:noWrap w:val="0"/>
            <w:vAlign w:val="center"/>
          </w:tcPr>
          <w:p w14:paraId="15D610C8">
            <w:pPr>
              <w:spacing w:line="360" w:lineRule="auto"/>
              <w:jc w:val="center"/>
              <w:rPr>
                <w:rFonts w:ascii="宋体" w:hAnsi="宋体" w:cs="宋体"/>
                <w:b/>
                <w:bCs/>
                <w:sz w:val="24"/>
                <w:szCs w:val="24"/>
              </w:rPr>
            </w:pPr>
            <w:r>
              <w:rPr>
                <w:rFonts w:hint="eastAsia" w:ascii="宋体" w:hAnsi="宋体" w:cs="宋体"/>
                <w:b/>
                <w:bCs/>
                <w:sz w:val="24"/>
                <w:szCs w:val="24"/>
              </w:rPr>
              <w:t>工作内容</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1ED27BDA">
            <w:pPr>
              <w:spacing w:line="360" w:lineRule="auto"/>
              <w:jc w:val="center"/>
              <w:rPr>
                <w:rFonts w:ascii="宋体" w:hAnsi="宋体" w:cs="宋体"/>
                <w:b/>
                <w:bCs/>
                <w:sz w:val="24"/>
                <w:szCs w:val="24"/>
              </w:rPr>
            </w:pPr>
            <w:r>
              <w:rPr>
                <w:rFonts w:hint="eastAsia" w:ascii="宋体" w:hAnsi="宋体" w:cs="宋体"/>
                <w:b/>
                <w:bCs/>
                <w:sz w:val="24"/>
                <w:szCs w:val="24"/>
              </w:rPr>
              <w:t>单位</w:t>
            </w:r>
          </w:p>
        </w:tc>
        <w:tc>
          <w:tcPr>
            <w:tcW w:w="1436" w:type="dxa"/>
            <w:tcBorders>
              <w:top w:val="single" w:color="auto" w:sz="4" w:space="0"/>
              <w:left w:val="single" w:color="auto" w:sz="4" w:space="0"/>
              <w:bottom w:val="single" w:color="auto" w:sz="4" w:space="0"/>
              <w:right w:val="single" w:color="auto" w:sz="4" w:space="0"/>
            </w:tcBorders>
            <w:noWrap w:val="0"/>
            <w:vAlign w:val="center"/>
          </w:tcPr>
          <w:p w14:paraId="35750749">
            <w:pPr>
              <w:spacing w:line="360" w:lineRule="auto"/>
              <w:jc w:val="center"/>
              <w:rPr>
                <w:rFonts w:ascii="宋体" w:hAnsi="宋体" w:cs="宋体"/>
                <w:b/>
                <w:bCs/>
                <w:sz w:val="24"/>
                <w:szCs w:val="24"/>
              </w:rPr>
            </w:pPr>
            <w:r>
              <w:rPr>
                <w:rFonts w:hint="eastAsia" w:ascii="宋体" w:hAnsi="宋体" w:cs="宋体"/>
                <w:b/>
                <w:bCs/>
                <w:sz w:val="24"/>
                <w:szCs w:val="24"/>
              </w:rPr>
              <w:t>数量</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5A06AB5">
            <w:pPr>
              <w:spacing w:line="360" w:lineRule="auto"/>
              <w:jc w:val="center"/>
              <w:rPr>
                <w:rFonts w:ascii="宋体" w:hAnsi="宋体" w:cs="宋体"/>
                <w:b/>
                <w:bCs/>
                <w:sz w:val="24"/>
                <w:szCs w:val="24"/>
              </w:rPr>
            </w:pPr>
            <w:r>
              <w:rPr>
                <w:rFonts w:hint="eastAsia" w:ascii="宋体" w:hAnsi="宋体" w:cs="宋体"/>
                <w:b/>
                <w:bCs/>
                <w:sz w:val="24"/>
                <w:szCs w:val="24"/>
              </w:rPr>
              <w:t>备注</w:t>
            </w:r>
          </w:p>
        </w:tc>
      </w:tr>
      <w:tr w14:paraId="3BB1E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8" w:hRule="exact"/>
        </w:trPr>
        <w:tc>
          <w:tcPr>
            <w:tcW w:w="465" w:type="dxa"/>
            <w:vMerge w:val="restart"/>
            <w:tcBorders>
              <w:top w:val="single" w:color="auto" w:sz="4" w:space="0"/>
              <w:left w:val="single" w:color="auto" w:sz="4" w:space="0"/>
              <w:right w:val="single" w:color="auto" w:sz="4" w:space="0"/>
            </w:tcBorders>
            <w:noWrap w:val="0"/>
            <w:vAlign w:val="center"/>
          </w:tcPr>
          <w:p w14:paraId="7B987380">
            <w:pPr>
              <w:spacing w:line="360" w:lineRule="auto"/>
              <w:jc w:val="center"/>
              <w:rPr>
                <w:rFonts w:ascii="宋体" w:hAnsi="宋体" w:cs="宋体"/>
                <w:sz w:val="24"/>
                <w:szCs w:val="24"/>
              </w:rPr>
            </w:pPr>
            <w:r>
              <w:rPr>
                <w:rFonts w:hint="eastAsia" w:ascii="宋体" w:hAnsi="宋体" w:cs="宋体"/>
                <w:sz w:val="24"/>
                <w:szCs w:val="24"/>
              </w:rPr>
              <w:t>1</w:t>
            </w:r>
          </w:p>
        </w:tc>
        <w:tc>
          <w:tcPr>
            <w:tcW w:w="2188" w:type="dxa"/>
            <w:vMerge w:val="restart"/>
            <w:tcBorders>
              <w:top w:val="single" w:color="auto" w:sz="4" w:space="0"/>
              <w:left w:val="single" w:color="auto" w:sz="4" w:space="0"/>
              <w:right w:val="single" w:color="auto" w:sz="4" w:space="0"/>
            </w:tcBorders>
            <w:noWrap w:val="0"/>
            <w:vAlign w:val="center"/>
          </w:tcPr>
          <w:p w14:paraId="4276FE5D">
            <w:pPr>
              <w:spacing w:line="360" w:lineRule="auto"/>
              <w:jc w:val="center"/>
              <w:rPr>
                <w:rFonts w:ascii="宋体" w:hAnsi="宋体" w:cs="宋体"/>
                <w:sz w:val="24"/>
                <w:szCs w:val="24"/>
              </w:rPr>
            </w:pPr>
            <w:r>
              <w:rPr>
                <w:rFonts w:ascii="宋体" w:hAnsi="宋体" w:cs="宋体"/>
                <w:sz w:val="24"/>
                <w:szCs w:val="24"/>
              </w:rPr>
              <w:t>2026年度泗阳县补充耕地质量评定项目</w:t>
            </w:r>
            <w:r>
              <w:rPr>
                <w:rFonts w:hint="eastAsia" w:ascii="宋体" w:hAnsi="宋体" w:cs="宋体"/>
                <w:sz w:val="24"/>
                <w:szCs w:val="24"/>
              </w:rPr>
              <w:t>（分包一）</w:t>
            </w:r>
          </w:p>
        </w:tc>
        <w:tc>
          <w:tcPr>
            <w:tcW w:w="3587" w:type="dxa"/>
            <w:vMerge w:val="restart"/>
            <w:tcBorders>
              <w:top w:val="single" w:color="auto" w:sz="4" w:space="0"/>
              <w:left w:val="single" w:color="auto" w:sz="4" w:space="0"/>
              <w:right w:val="single" w:color="auto" w:sz="4" w:space="0"/>
            </w:tcBorders>
            <w:noWrap w:val="0"/>
            <w:vAlign w:val="center"/>
          </w:tcPr>
          <w:p w14:paraId="43750475">
            <w:pPr>
              <w:spacing w:line="360" w:lineRule="auto"/>
              <w:jc w:val="left"/>
              <w:rPr>
                <w:rFonts w:ascii="宋体" w:hAnsi="宋体" w:cs="宋体"/>
                <w:sz w:val="24"/>
                <w:szCs w:val="24"/>
              </w:rPr>
            </w:pPr>
            <w:r>
              <w:rPr>
                <w:rFonts w:hint="eastAsia" w:ascii="宋体" w:hAnsi="宋体" w:cs="宋体"/>
                <w:sz w:val="24"/>
                <w:szCs w:val="24"/>
              </w:rPr>
              <w:t>第三方打包服务(资料收集与审核、评价单元划分、踏勘布点、现场初步踏勘、土样采集、土壤样品检测、照片采集、开展耕地质量鉴定评价、项目评定费、专家费及会议费、材料整理、总结报告、项目耕地质量等级评定结果等相关技术服务和材料)，最终工作量以实际发生为准</w:t>
            </w:r>
          </w:p>
        </w:tc>
        <w:tc>
          <w:tcPr>
            <w:tcW w:w="654" w:type="dxa"/>
            <w:vMerge w:val="restart"/>
            <w:tcBorders>
              <w:top w:val="single" w:color="auto" w:sz="4" w:space="0"/>
              <w:left w:val="single" w:color="auto" w:sz="4" w:space="0"/>
              <w:right w:val="single" w:color="auto" w:sz="4" w:space="0"/>
            </w:tcBorders>
            <w:noWrap w:val="0"/>
            <w:vAlign w:val="center"/>
          </w:tcPr>
          <w:p w14:paraId="50D6E300">
            <w:pPr>
              <w:spacing w:line="360" w:lineRule="auto"/>
              <w:jc w:val="center"/>
              <w:rPr>
                <w:rFonts w:ascii="宋体" w:hAnsi="宋体" w:cs="宋体"/>
                <w:sz w:val="24"/>
                <w:szCs w:val="24"/>
              </w:rPr>
            </w:pPr>
            <w:r>
              <w:rPr>
                <w:rFonts w:hint="eastAsia" w:ascii="宋体" w:hAnsi="宋体" w:cs="宋体"/>
                <w:sz w:val="24"/>
                <w:szCs w:val="24"/>
              </w:rPr>
              <w:t>亩</w:t>
            </w:r>
          </w:p>
        </w:tc>
        <w:tc>
          <w:tcPr>
            <w:tcW w:w="1436" w:type="dxa"/>
            <w:vMerge w:val="restart"/>
            <w:tcBorders>
              <w:top w:val="single" w:color="auto" w:sz="4" w:space="0"/>
              <w:left w:val="single" w:color="auto" w:sz="4" w:space="0"/>
              <w:right w:val="single" w:color="auto" w:sz="4" w:space="0"/>
            </w:tcBorders>
            <w:noWrap w:val="0"/>
            <w:vAlign w:val="center"/>
          </w:tcPr>
          <w:p w14:paraId="299A7963">
            <w:pPr>
              <w:spacing w:line="360" w:lineRule="auto"/>
              <w:jc w:val="center"/>
              <w:rPr>
                <w:rFonts w:ascii="宋体" w:hAnsi="宋体" w:cs="宋体"/>
                <w:sz w:val="24"/>
                <w:szCs w:val="24"/>
              </w:rPr>
            </w:pPr>
            <w:r>
              <w:rPr>
                <w:rFonts w:hint="eastAsia" w:ascii="宋体" w:hAnsi="宋体" w:cs="宋体"/>
                <w:sz w:val="24"/>
                <w:szCs w:val="24"/>
              </w:rPr>
              <w:t>约3093亩</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2F2652E">
            <w:pPr>
              <w:spacing w:line="360" w:lineRule="auto"/>
              <w:jc w:val="center"/>
              <w:rPr>
                <w:rFonts w:ascii="宋体" w:hAnsi="宋体" w:cs="宋体"/>
                <w:b/>
                <w:bCs/>
                <w:sz w:val="24"/>
                <w:szCs w:val="24"/>
              </w:rPr>
            </w:pPr>
          </w:p>
        </w:tc>
      </w:tr>
      <w:tr w14:paraId="260E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exact"/>
        </w:trPr>
        <w:tc>
          <w:tcPr>
            <w:tcW w:w="465" w:type="dxa"/>
            <w:vMerge w:val="continue"/>
            <w:tcBorders>
              <w:left w:val="single" w:color="auto" w:sz="4" w:space="0"/>
              <w:bottom w:val="single" w:color="auto" w:sz="4" w:space="0"/>
              <w:right w:val="single" w:color="auto" w:sz="4" w:space="0"/>
            </w:tcBorders>
            <w:noWrap w:val="0"/>
            <w:vAlign w:val="center"/>
          </w:tcPr>
          <w:p w14:paraId="44502CD4">
            <w:pPr>
              <w:spacing w:line="360" w:lineRule="auto"/>
              <w:jc w:val="center"/>
              <w:rPr>
                <w:rFonts w:ascii="宋体" w:hAnsi="宋体" w:cs="宋体"/>
                <w:sz w:val="24"/>
                <w:szCs w:val="24"/>
              </w:rPr>
            </w:pPr>
          </w:p>
        </w:tc>
        <w:tc>
          <w:tcPr>
            <w:tcW w:w="2188" w:type="dxa"/>
            <w:vMerge w:val="continue"/>
            <w:tcBorders>
              <w:left w:val="single" w:color="auto" w:sz="4" w:space="0"/>
              <w:bottom w:val="single" w:color="auto" w:sz="4" w:space="0"/>
              <w:right w:val="single" w:color="auto" w:sz="4" w:space="0"/>
            </w:tcBorders>
            <w:shd w:val="clear" w:color="auto" w:fill="auto"/>
            <w:noWrap w:val="0"/>
            <w:vAlign w:val="center"/>
          </w:tcPr>
          <w:p w14:paraId="2C061C5F">
            <w:pPr>
              <w:spacing w:line="360" w:lineRule="auto"/>
              <w:jc w:val="center"/>
              <w:rPr>
                <w:rFonts w:ascii="宋体" w:hAnsi="宋体" w:cs="宋体"/>
                <w:sz w:val="24"/>
                <w:szCs w:val="24"/>
              </w:rPr>
            </w:pPr>
          </w:p>
        </w:tc>
        <w:tc>
          <w:tcPr>
            <w:tcW w:w="3587" w:type="dxa"/>
            <w:vMerge w:val="continue"/>
            <w:tcBorders>
              <w:left w:val="single" w:color="auto" w:sz="4" w:space="0"/>
              <w:bottom w:val="single" w:color="auto" w:sz="4" w:space="0"/>
              <w:right w:val="single" w:color="auto" w:sz="4" w:space="0"/>
            </w:tcBorders>
            <w:noWrap w:val="0"/>
            <w:vAlign w:val="center"/>
          </w:tcPr>
          <w:p w14:paraId="0DD4B541">
            <w:pPr>
              <w:spacing w:line="360" w:lineRule="auto"/>
              <w:jc w:val="center"/>
              <w:rPr>
                <w:rFonts w:ascii="宋体" w:hAnsi="宋体" w:cs="宋体"/>
                <w:sz w:val="24"/>
                <w:szCs w:val="24"/>
              </w:rPr>
            </w:pPr>
          </w:p>
        </w:tc>
        <w:tc>
          <w:tcPr>
            <w:tcW w:w="654" w:type="dxa"/>
            <w:vMerge w:val="continue"/>
            <w:tcBorders>
              <w:left w:val="single" w:color="auto" w:sz="4" w:space="0"/>
              <w:bottom w:val="single" w:color="auto" w:sz="4" w:space="0"/>
              <w:right w:val="single" w:color="auto" w:sz="4" w:space="0"/>
            </w:tcBorders>
            <w:noWrap w:val="0"/>
            <w:vAlign w:val="center"/>
          </w:tcPr>
          <w:p w14:paraId="186AEF7D">
            <w:pPr>
              <w:spacing w:line="360" w:lineRule="auto"/>
              <w:jc w:val="center"/>
              <w:rPr>
                <w:rFonts w:ascii="宋体" w:hAnsi="宋体" w:cs="宋体"/>
                <w:sz w:val="24"/>
                <w:szCs w:val="24"/>
              </w:rPr>
            </w:pPr>
          </w:p>
        </w:tc>
        <w:tc>
          <w:tcPr>
            <w:tcW w:w="1436" w:type="dxa"/>
            <w:vMerge w:val="continue"/>
            <w:tcBorders>
              <w:left w:val="single" w:color="auto" w:sz="4" w:space="0"/>
              <w:bottom w:val="single" w:color="auto" w:sz="4" w:space="0"/>
              <w:right w:val="single" w:color="auto" w:sz="4" w:space="0"/>
            </w:tcBorders>
            <w:noWrap w:val="0"/>
            <w:vAlign w:val="center"/>
          </w:tcPr>
          <w:p w14:paraId="7431CC80">
            <w:pPr>
              <w:spacing w:line="360" w:lineRule="auto"/>
              <w:jc w:val="center"/>
              <w:rPr>
                <w:rFonts w:ascii="宋体" w:hAnsi="宋体" w:cs="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A6E90D2">
            <w:pPr>
              <w:spacing w:line="360" w:lineRule="auto"/>
              <w:jc w:val="center"/>
              <w:rPr>
                <w:rFonts w:ascii="宋体" w:hAnsi="宋体" w:cs="宋体"/>
                <w:b/>
                <w:bCs/>
                <w:sz w:val="24"/>
                <w:szCs w:val="24"/>
              </w:rPr>
            </w:pPr>
          </w:p>
        </w:tc>
      </w:tr>
    </w:tbl>
    <w:p w14:paraId="2A658165">
      <w:pPr>
        <w:spacing w:line="360" w:lineRule="auto"/>
        <w:rPr>
          <w:rFonts w:ascii="宋体" w:hAnsi="宋体" w:cs="宋体"/>
          <w:b/>
          <w:bCs/>
          <w:sz w:val="24"/>
          <w:szCs w:val="24"/>
        </w:rPr>
      </w:pPr>
    </w:p>
    <w:p w14:paraId="2BCDED6F">
      <w:pPr>
        <w:spacing w:line="360" w:lineRule="auto"/>
        <w:rPr>
          <w:rFonts w:ascii="宋体" w:hAnsi="宋体" w:cs="宋体"/>
          <w:b/>
          <w:bCs/>
          <w:sz w:val="24"/>
          <w:szCs w:val="24"/>
        </w:rPr>
      </w:pPr>
      <w:r>
        <w:rPr>
          <w:rFonts w:hint="eastAsia" w:ascii="宋体" w:hAnsi="宋体" w:cs="宋体"/>
          <w:b/>
          <w:bCs/>
          <w:sz w:val="24"/>
          <w:szCs w:val="24"/>
        </w:rPr>
        <w:t>注：最终面积以实际申报的补充耕地质量评定的面积为准，最终单价以中标单价为准。</w:t>
      </w:r>
    </w:p>
    <w:p w14:paraId="47405005">
      <w:pPr>
        <w:spacing w:line="360" w:lineRule="auto"/>
        <w:rPr>
          <w:rFonts w:ascii="Times New Roman" w:hAnsi="Times New Roman"/>
          <w:b/>
          <w:bCs/>
          <w:sz w:val="28"/>
          <w:szCs w:val="28"/>
        </w:rPr>
      </w:pPr>
      <w:r>
        <w:rPr>
          <w:rFonts w:hint="eastAsia" w:ascii="Times New Roman" w:hAnsi="Times New Roman"/>
          <w:b/>
          <w:bCs/>
          <w:sz w:val="28"/>
          <w:szCs w:val="28"/>
        </w:rPr>
        <w:t>三、验收标准及要求</w:t>
      </w:r>
    </w:p>
    <w:p w14:paraId="0C9A142A">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1、验收标准：采购人按照国家规定标准验收，没有国家标准的按行业标准验收，无行业标准的按地方或企业标准验收。</w:t>
      </w:r>
    </w:p>
    <w:p w14:paraId="4E483F8C">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2、验收：采购人以采购文件、中标供应商的响应文件、合同为依据，成立验收小组，负责对项目进行全面的验收，中标人须向采购人提供详细的预验收方案。</w:t>
      </w:r>
    </w:p>
    <w:p w14:paraId="6B9E471D">
      <w:pPr>
        <w:spacing w:line="360" w:lineRule="auto"/>
        <w:rPr>
          <w:rFonts w:ascii="Times New Roman" w:hAnsi="Times New Roman"/>
          <w:b/>
          <w:bCs/>
          <w:sz w:val="28"/>
          <w:szCs w:val="28"/>
        </w:rPr>
      </w:pPr>
      <w:r>
        <w:rPr>
          <w:rFonts w:hint="eastAsia" w:ascii="Times New Roman" w:hAnsi="Times New Roman"/>
          <w:b/>
          <w:bCs/>
          <w:sz w:val="28"/>
          <w:szCs w:val="28"/>
        </w:rPr>
        <w:t>四、项目实施要求</w:t>
      </w:r>
    </w:p>
    <w:p w14:paraId="1F2887B2">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项目在实施过程中，为顺利完成项目，应严格按照项目管理的要求进行项目实施。</w:t>
      </w:r>
    </w:p>
    <w:p w14:paraId="10D70F23">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根据项目整体安排科学性、合理性、可操作性，投标人需提供的项目实施方案，对工</w:t>
      </w:r>
    </w:p>
    <w:p w14:paraId="51A7A717">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作进度紧凑合理安排、对人员安排及工作实施内容安排需切实可行。</w:t>
      </w:r>
    </w:p>
    <w:p w14:paraId="219C8313">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1、要有明晰的组织机构，项目实施人员齐全，岗位职责明确，能高标准的实施项目管理。配备项目负责人、技术负责人等。</w:t>
      </w:r>
    </w:p>
    <w:p w14:paraId="128F0C9B">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2、在项目实施过程中，成交供应商要对项目人员及项目建设工作严格管理，项目实施负责人对工作进度、问题及下阶段工作计划，确保按时完成项目工作。</w:t>
      </w:r>
    </w:p>
    <w:p w14:paraId="13449E90">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3、坚持科学的态度和实事求是的原则，确保信息数据的安全性，维护采购方合法权益。</w:t>
      </w:r>
    </w:p>
    <w:p w14:paraId="76AB542C">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4、项目实施方案包括但不限于对项目的理解、技术方案、进度安排、质量保证措施、售后服务保证措施。若发生工期滞后和突发情况，应有应急管理办法。</w:t>
      </w:r>
    </w:p>
    <w:p w14:paraId="56098A0F">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5、技术依据：为保证本项目实施的科学性、规范性和准确性，技术实施方案需要严格遵照国家有关法律、法规、规章制度以及国家和行业颁布的相关技术标准和规范。</w:t>
      </w:r>
    </w:p>
    <w:p w14:paraId="6BB792FD">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6、递交的成果内容必须符合招标文件的有关要求和国家有关标准。</w:t>
      </w:r>
    </w:p>
    <w:p w14:paraId="73D86AE0">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 xml:space="preserve">7、在项目成果通过验收并实施过程中，按照项目实际需求，配合采购人进一步完善成果细节，以满足建设要求。 </w:t>
      </w:r>
    </w:p>
    <w:p w14:paraId="28FFC01A">
      <w:pPr>
        <w:spacing w:line="360" w:lineRule="auto"/>
        <w:rPr>
          <w:rFonts w:hint="eastAsia" w:ascii="Times New Roman" w:hAnsi="Times New Roman"/>
          <w:b/>
          <w:bCs/>
          <w:sz w:val="28"/>
          <w:szCs w:val="28"/>
        </w:rPr>
      </w:pPr>
      <w:r>
        <w:rPr>
          <w:rFonts w:hint="eastAsia" w:ascii="Times New Roman" w:hAnsi="Times New Roman"/>
          <w:b/>
          <w:bCs/>
          <w:sz w:val="28"/>
          <w:szCs w:val="28"/>
        </w:rPr>
        <w:t>五、注意事项</w:t>
      </w:r>
    </w:p>
    <w:p w14:paraId="3A56D655">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1、报价内容包括:项目完成过程中的服务本身、人工费、服务费、设备费、税金以及交付使用过程中涉及到的其他一切费用。</w:t>
      </w:r>
    </w:p>
    <w:p w14:paraId="21D6C0B5">
      <w:pPr>
        <w:pStyle w:val="335"/>
        <w:spacing w:line="360" w:lineRule="auto"/>
        <w:ind w:firstLine="480"/>
        <w:outlineLvl w:val="4"/>
        <w:rPr>
          <w:rFonts w:hint="eastAsia" w:ascii="宋体" w:hAnsi="宋体" w:cs="仿宋_GB2312"/>
          <w:sz w:val="24"/>
          <w:szCs w:val="24"/>
        </w:rPr>
      </w:pPr>
      <w:r>
        <w:rPr>
          <w:rFonts w:hint="eastAsia" w:ascii="宋体" w:hAnsi="宋体" w:cs="仿宋_GB2312"/>
          <w:sz w:val="24"/>
          <w:szCs w:val="24"/>
        </w:rPr>
        <w:t>2、报价注意事项：供应商报价时应充分考虑所有可能影响到报价的因素，一旦评标结束最终成交，价格将包定，不予调整。如发生漏、缺、少项，都将被认为是成交人的报价让利行为，损失自负。最终结算数量以实际申报发生为准，投标人需综合考虑实际申报数量与计划申报数量有差距的风险，慎重报价。</w:t>
      </w:r>
    </w:p>
    <w:p w14:paraId="3542F71F">
      <w:pPr>
        <w:pStyle w:val="335"/>
        <w:spacing w:line="360" w:lineRule="auto"/>
        <w:ind w:firstLine="480"/>
        <w:outlineLvl w:val="4"/>
        <w:rPr>
          <w:rFonts w:hint="default" w:ascii="宋体" w:hAnsi="宋体" w:eastAsia="宋体" w:cs="仿宋_GB2312"/>
          <w:sz w:val="24"/>
          <w:szCs w:val="24"/>
          <w:lang w:val="en-US" w:eastAsia="zh-CN"/>
        </w:rPr>
      </w:pPr>
      <w:bookmarkStart w:id="267" w:name="_GoBack"/>
      <w:bookmarkEnd w:id="267"/>
    </w:p>
    <w:p w14:paraId="387C4F98">
      <w:pPr>
        <w:keepNext/>
        <w:jc w:val="center"/>
        <w:outlineLvl w:val="0"/>
        <w:rPr>
          <w:rFonts w:ascii="Times New Roman" w:hAnsi="Times New Roman"/>
          <w:bCs/>
          <w:sz w:val="44"/>
          <w:szCs w:val="28"/>
        </w:rPr>
      </w:pPr>
      <w:r>
        <w:rPr>
          <w:rFonts w:ascii="Times New Roman" w:hAnsi="Times New Roman"/>
          <w:bCs/>
          <w:sz w:val="44"/>
          <w:szCs w:val="28"/>
        </w:rPr>
        <w:br w:type="page" w:clear="all"/>
      </w:r>
      <w:bookmarkStart w:id="215" w:name="_Toc3217"/>
      <w:r>
        <w:rPr>
          <w:rFonts w:ascii="Times New Roman" w:hAnsi="Times New Roman"/>
          <w:b/>
          <w:sz w:val="44"/>
          <w:szCs w:val="44"/>
        </w:rPr>
        <w:t>第五章  评审方法与评审标准</w:t>
      </w:r>
      <w:bookmarkEnd w:id="215"/>
    </w:p>
    <w:p w14:paraId="673054FD">
      <w:pPr>
        <w:rPr>
          <w:rFonts w:ascii="Times New Roman" w:hAnsi="Times New Roman"/>
          <w:szCs w:val="21"/>
        </w:rPr>
      </w:pPr>
    </w:p>
    <w:p w14:paraId="4D06641F">
      <w:pPr>
        <w:spacing w:line="500" w:lineRule="exact"/>
        <w:ind w:firstLine="562"/>
        <w:jc w:val="left"/>
        <w:rPr>
          <w:rFonts w:ascii="Times New Roman" w:hAnsi="Times New Roman"/>
          <w:sz w:val="24"/>
        </w:rPr>
      </w:pPr>
      <w:r>
        <w:rPr>
          <w:rFonts w:ascii="Times New Roman" w:hAnsi="Times New Roman"/>
          <w:b/>
          <w:sz w:val="28"/>
        </w:rPr>
        <w:t>一、资格审查。</w:t>
      </w:r>
      <w:r>
        <w:rPr>
          <w:rFonts w:ascii="Times New Roman" w:hAnsi="Times New Roman"/>
          <w:sz w:val="24"/>
        </w:rPr>
        <w:t>资格审查人员按照下列指标对各供应商的资格进行审查，未通过审查的为无效标，不参与评审。</w:t>
      </w:r>
    </w:p>
    <w:tbl>
      <w:tblPr>
        <w:tblStyle w:val="49"/>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8"/>
        <w:gridCol w:w="4438"/>
      </w:tblGrid>
      <w:tr w14:paraId="766C96A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70719995">
            <w:pPr>
              <w:jc w:val="center"/>
              <w:rPr>
                <w:rFonts w:ascii="Times New Roman" w:hAnsi="Times New Roman"/>
                <w:sz w:val="24"/>
                <w:szCs w:val="24"/>
              </w:rPr>
            </w:pPr>
            <w:r>
              <w:rPr>
                <w:rFonts w:ascii="Times New Roman" w:hAnsi="Times New Roman"/>
                <w:sz w:val="24"/>
                <w:szCs w:val="24"/>
              </w:rPr>
              <w:t>资格审查因素</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32117982">
            <w:pPr>
              <w:jc w:val="center"/>
              <w:rPr>
                <w:rFonts w:ascii="Times New Roman" w:hAnsi="Times New Roman"/>
                <w:sz w:val="24"/>
                <w:szCs w:val="24"/>
              </w:rPr>
            </w:pPr>
            <w:r>
              <w:rPr>
                <w:rFonts w:ascii="Times New Roman" w:hAnsi="Times New Roman"/>
                <w:sz w:val="24"/>
                <w:szCs w:val="24"/>
              </w:rPr>
              <w:t>审查标准</w:t>
            </w:r>
          </w:p>
        </w:tc>
      </w:tr>
      <w:tr w14:paraId="7F77B0B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1B08ADFF">
            <w:pPr>
              <w:jc w:val="left"/>
              <w:rPr>
                <w:rFonts w:ascii="Times New Roman" w:hAnsi="Times New Roman"/>
                <w:sz w:val="24"/>
                <w:szCs w:val="24"/>
              </w:rPr>
            </w:pPr>
            <w:r>
              <w:rPr>
                <w:rFonts w:ascii="Times New Roman" w:hAnsi="Times New Roman"/>
                <w:sz w:val="24"/>
                <w:szCs w:val="24"/>
              </w:rPr>
              <w:t>响应声明及承诺函</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511D198E">
            <w:pPr>
              <w:jc w:val="left"/>
              <w:rPr>
                <w:rFonts w:ascii="Times New Roman" w:hAnsi="Times New Roman"/>
                <w:sz w:val="24"/>
                <w:szCs w:val="24"/>
              </w:rPr>
            </w:pPr>
            <w:r>
              <w:rPr>
                <w:rFonts w:ascii="Times New Roman" w:hAnsi="Times New Roman"/>
                <w:sz w:val="24"/>
                <w:szCs w:val="24"/>
              </w:rPr>
              <w:t>符合磋商文件要求</w:t>
            </w:r>
          </w:p>
        </w:tc>
      </w:tr>
      <w:tr w14:paraId="0B11DBA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26FB5FA0">
            <w:pPr>
              <w:jc w:val="left"/>
              <w:rPr>
                <w:rFonts w:ascii="Times New Roman" w:hAnsi="Times New Roman"/>
                <w:sz w:val="24"/>
                <w:szCs w:val="24"/>
              </w:rPr>
            </w:pPr>
            <w:r>
              <w:rPr>
                <w:rFonts w:ascii="Times New Roman" w:hAnsi="Times New Roman"/>
                <w:sz w:val="24"/>
                <w:szCs w:val="24"/>
              </w:rPr>
              <w:t>落实政府采购政策需满足的资格要求</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64F679A3">
            <w:pPr>
              <w:jc w:val="left"/>
              <w:rPr>
                <w:rFonts w:ascii="Times New Roman" w:hAnsi="Times New Roman"/>
                <w:sz w:val="24"/>
                <w:szCs w:val="24"/>
              </w:rPr>
            </w:pPr>
            <w:r>
              <w:rPr>
                <w:rFonts w:ascii="Times New Roman" w:hAnsi="Times New Roman"/>
                <w:sz w:val="24"/>
                <w:szCs w:val="24"/>
              </w:rPr>
              <w:t>符合磋商文件要求</w:t>
            </w:r>
          </w:p>
        </w:tc>
      </w:tr>
      <w:tr w14:paraId="64A970E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7E1F3DF1">
            <w:pPr>
              <w:jc w:val="left"/>
              <w:rPr>
                <w:rFonts w:ascii="Times New Roman" w:hAnsi="Times New Roman"/>
                <w:sz w:val="24"/>
                <w:szCs w:val="24"/>
              </w:rPr>
            </w:pPr>
            <w:r>
              <w:rPr>
                <w:rFonts w:ascii="Times New Roman" w:hAnsi="Times New Roman"/>
                <w:sz w:val="24"/>
                <w:szCs w:val="24"/>
              </w:rPr>
              <w:t>信用信息</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733B712B">
            <w:pPr>
              <w:jc w:val="left"/>
              <w:rPr>
                <w:rFonts w:ascii="Times New Roman" w:hAnsi="Times New Roman"/>
                <w:sz w:val="24"/>
                <w:szCs w:val="24"/>
              </w:rPr>
            </w:pPr>
            <w:r>
              <w:rPr>
                <w:rFonts w:ascii="Times New Roman" w:hAnsi="Times New Roman"/>
                <w:sz w:val="24"/>
                <w:szCs w:val="24"/>
              </w:rPr>
              <w:t>符合磋商文件要求</w:t>
            </w:r>
          </w:p>
        </w:tc>
      </w:tr>
      <w:tr w14:paraId="4B284F8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2A56BED3">
            <w:pPr>
              <w:jc w:val="left"/>
              <w:rPr>
                <w:rFonts w:ascii="Times New Roman" w:hAnsi="Times New Roman"/>
              </w:rPr>
            </w:pPr>
            <w:r>
              <w:rPr>
                <w:rFonts w:ascii="Times New Roman" w:hAnsi="宋体"/>
                <w:sz w:val="24"/>
                <w:szCs w:val="24"/>
              </w:rPr>
              <w:t>联合体响应</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255A8099">
            <w:pPr>
              <w:jc w:val="left"/>
              <w:rPr>
                <w:rFonts w:ascii="Times New Roman" w:hAnsi="Times New Roman"/>
              </w:rPr>
            </w:pPr>
            <w:r>
              <w:rPr>
                <w:rFonts w:ascii="Times New Roman" w:hAnsi="Times New Roman"/>
                <w:sz w:val="24"/>
                <w:szCs w:val="24"/>
              </w:rPr>
              <w:t>本项目</w:t>
            </w:r>
            <w:r>
              <w:rPr>
                <w:rFonts w:hint="eastAsia" w:ascii="Times New Roman" w:hAnsi="Times New Roman"/>
                <w:sz w:val="24"/>
                <w:szCs w:val="24"/>
              </w:rPr>
              <w:t>不</w:t>
            </w:r>
            <w:r>
              <w:rPr>
                <w:rFonts w:ascii="Times New Roman" w:hAnsi="Times New Roman"/>
                <w:sz w:val="24"/>
                <w:szCs w:val="24"/>
              </w:rPr>
              <w:t>接受联合体响应</w:t>
            </w:r>
          </w:p>
        </w:tc>
      </w:tr>
    </w:tbl>
    <w:p w14:paraId="7394DB74">
      <w:pPr>
        <w:spacing w:line="500" w:lineRule="exact"/>
        <w:ind w:firstLine="562"/>
        <w:jc w:val="left"/>
        <w:rPr>
          <w:rFonts w:ascii="Times New Roman" w:hAnsi="Times New Roman"/>
          <w:sz w:val="24"/>
        </w:rPr>
      </w:pPr>
      <w:r>
        <w:rPr>
          <w:rFonts w:ascii="Times New Roman" w:hAnsi="Times New Roman"/>
          <w:b/>
          <w:sz w:val="28"/>
        </w:rPr>
        <w:t>二、符合性审查。</w:t>
      </w:r>
      <w:r>
        <w:rPr>
          <w:rFonts w:ascii="Times New Roman" w:hAnsi="Times New Roman"/>
          <w:sz w:val="24"/>
        </w:rPr>
        <w:t>磋商小组首先按照下列指标对各供应商进行初步评审，未通过评审的为无效标，不再参与评审。</w:t>
      </w:r>
    </w:p>
    <w:tbl>
      <w:tblPr>
        <w:tblStyle w:val="49"/>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95"/>
        <w:gridCol w:w="4497"/>
      </w:tblGrid>
      <w:tr w14:paraId="783A04C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395" w:type="dxa"/>
            <w:tcBorders>
              <w:top w:val="single" w:color="000000" w:sz="6" w:space="0"/>
              <w:left w:val="single" w:color="000000" w:sz="6" w:space="0"/>
              <w:bottom w:val="single" w:color="000000" w:sz="6" w:space="0"/>
              <w:right w:val="single" w:color="000000" w:sz="6" w:space="0"/>
            </w:tcBorders>
            <w:noWrap w:val="0"/>
            <w:vAlign w:val="center"/>
          </w:tcPr>
          <w:p w14:paraId="5E46BFD4">
            <w:pPr>
              <w:jc w:val="center"/>
              <w:rPr>
                <w:rFonts w:ascii="Times New Roman" w:hAnsi="Times New Roman"/>
                <w:sz w:val="24"/>
                <w:szCs w:val="24"/>
              </w:rPr>
            </w:pPr>
            <w:r>
              <w:rPr>
                <w:rFonts w:ascii="Times New Roman" w:hAnsi="Times New Roman"/>
                <w:sz w:val="24"/>
                <w:szCs w:val="24"/>
              </w:rPr>
              <w:t>评审因素</w:t>
            </w:r>
          </w:p>
        </w:tc>
        <w:tc>
          <w:tcPr>
            <w:tcW w:w="4497" w:type="dxa"/>
            <w:tcBorders>
              <w:top w:val="single" w:color="000000" w:sz="6" w:space="0"/>
              <w:left w:val="single" w:color="000000" w:sz="6" w:space="0"/>
              <w:bottom w:val="single" w:color="000000" w:sz="6" w:space="0"/>
              <w:right w:val="single" w:color="000000" w:sz="6" w:space="0"/>
            </w:tcBorders>
            <w:noWrap w:val="0"/>
            <w:vAlign w:val="center"/>
          </w:tcPr>
          <w:p w14:paraId="37222CE6">
            <w:pPr>
              <w:jc w:val="center"/>
              <w:rPr>
                <w:rFonts w:ascii="Times New Roman" w:hAnsi="Times New Roman"/>
                <w:sz w:val="24"/>
                <w:szCs w:val="24"/>
              </w:rPr>
            </w:pPr>
            <w:r>
              <w:rPr>
                <w:rFonts w:ascii="Times New Roman" w:hAnsi="Times New Roman"/>
                <w:sz w:val="24"/>
                <w:szCs w:val="24"/>
              </w:rPr>
              <w:t>评审标准</w:t>
            </w:r>
          </w:p>
        </w:tc>
      </w:tr>
      <w:tr w14:paraId="3365F33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395" w:type="dxa"/>
            <w:tcBorders>
              <w:top w:val="single" w:color="000000" w:sz="6" w:space="0"/>
              <w:left w:val="single" w:color="000000" w:sz="6" w:space="0"/>
              <w:bottom w:val="single" w:color="000000" w:sz="6" w:space="0"/>
              <w:right w:val="single" w:color="000000" w:sz="6" w:space="0"/>
            </w:tcBorders>
            <w:noWrap w:val="0"/>
            <w:vAlign w:val="center"/>
          </w:tcPr>
          <w:p w14:paraId="1D5A5C17">
            <w:pPr>
              <w:jc w:val="left"/>
              <w:rPr>
                <w:rFonts w:ascii="Times New Roman" w:hAnsi="Times New Roman"/>
                <w:sz w:val="24"/>
                <w:szCs w:val="24"/>
              </w:rPr>
            </w:pPr>
            <w:r>
              <w:rPr>
                <w:rFonts w:ascii="Times New Roman" w:hAnsi="Times New Roman"/>
                <w:sz w:val="24"/>
                <w:szCs w:val="24"/>
              </w:rPr>
              <w:t>法</w:t>
            </w:r>
            <w:r>
              <w:rPr>
                <w:rFonts w:hint="eastAsia" w:ascii="Times New Roman" w:hAnsi="Times New Roman"/>
                <w:sz w:val="24"/>
                <w:szCs w:val="24"/>
              </w:rPr>
              <w:t>人授权</w:t>
            </w:r>
            <w:r>
              <w:rPr>
                <w:rFonts w:ascii="Times New Roman" w:hAnsi="Times New Roman"/>
                <w:sz w:val="24"/>
                <w:szCs w:val="24"/>
              </w:rPr>
              <w:t>书</w:t>
            </w:r>
          </w:p>
        </w:tc>
        <w:tc>
          <w:tcPr>
            <w:tcW w:w="4497" w:type="dxa"/>
            <w:tcBorders>
              <w:top w:val="single" w:color="000000" w:sz="6" w:space="0"/>
              <w:left w:val="single" w:color="000000" w:sz="6" w:space="0"/>
              <w:bottom w:val="single" w:color="000000" w:sz="6" w:space="0"/>
              <w:right w:val="single" w:color="000000" w:sz="6" w:space="0"/>
            </w:tcBorders>
            <w:noWrap w:val="0"/>
            <w:vAlign w:val="center"/>
          </w:tcPr>
          <w:p w14:paraId="17D219E9">
            <w:pPr>
              <w:jc w:val="left"/>
              <w:rPr>
                <w:rFonts w:ascii="Times New Roman" w:hAnsi="Times New Roman"/>
                <w:sz w:val="24"/>
                <w:szCs w:val="24"/>
              </w:rPr>
            </w:pPr>
            <w:r>
              <w:rPr>
                <w:rFonts w:ascii="Times New Roman" w:hAnsi="Times New Roman"/>
                <w:sz w:val="24"/>
                <w:szCs w:val="24"/>
              </w:rPr>
              <w:t>符合磋商文件要求</w:t>
            </w:r>
          </w:p>
        </w:tc>
      </w:tr>
      <w:tr w14:paraId="5C7F2B2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395" w:type="dxa"/>
            <w:tcBorders>
              <w:top w:val="single" w:color="000000" w:sz="6" w:space="0"/>
              <w:left w:val="single" w:color="000000" w:sz="6" w:space="0"/>
              <w:bottom w:val="single" w:color="000000" w:sz="6" w:space="0"/>
              <w:right w:val="single" w:color="000000" w:sz="6" w:space="0"/>
            </w:tcBorders>
            <w:noWrap w:val="0"/>
            <w:vAlign w:val="center"/>
          </w:tcPr>
          <w:p w14:paraId="4FE6DF8B">
            <w:pPr>
              <w:jc w:val="left"/>
              <w:rPr>
                <w:rFonts w:ascii="Times New Roman" w:hAnsi="Times New Roman"/>
                <w:sz w:val="24"/>
                <w:szCs w:val="24"/>
              </w:rPr>
            </w:pPr>
            <w:r>
              <w:rPr>
                <w:rFonts w:hint="eastAsia" w:ascii="Times New Roman" w:hAnsi="Times New Roman"/>
                <w:sz w:val="24"/>
                <w:szCs w:val="24"/>
              </w:rPr>
              <w:t>磋商报价表及投标报价</w:t>
            </w:r>
          </w:p>
        </w:tc>
        <w:tc>
          <w:tcPr>
            <w:tcW w:w="4497" w:type="dxa"/>
            <w:tcBorders>
              <w:top w:val="single" w:color="000000" w:sz="6" w:space="0"/>
              <w:left w:val="single" w:color="000000" w:sz="6" w:space="0"/>
              <w:bottom w:val="single" w:color="000000" w:sz="6" w:space="0"/>
              <w:right w:val="single" w:color="000000" w:sz="6" w:space="0"/>
            </w:tcBorders>
            <w:noWrap w:val="0"/>
            <w:vAlign w:val="center"/>
          </w:tcPr>
          <w:p w14:paraId="6CCB6564">
            <w:pPr>
              <w:jc w:val="left"/>
              <w:rPr>
                <w:rFonts w:ascii="Times New Roman" w:hAnsi="Times New Roman"/>
                <w:sz w:val="24"/>
                <w:szCs w:val="24"/>
              </w:rPr>
            </w:pPr>
            <w:r>
              <w:rPr>
                <w:rFonts w:hint="eastAsia" w:ascii="Times New Roman" w:hAnsi="Times New Roman"/>
                <w:sz w:val="24"/>
                <w:szCs w:val="24"/>
              </w:rPr>
              <w:t>符合磋商文件要求</w:t>
            </w:r>
          </w:p>
        </w:tc>
      </w:tr>
      <w:tr w14:paraId="1D2AC3A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395" w:type="dxa"/>
            <w:tcBorders>
              <w:top w:val="single" w:color="000000" w:sz="6" w:space="0"/>
              <w:left w:val="single" w:color="000000" w:sz="6" w:space="0"/>
              <w:bottom w:val="single" w:color="000000" w:sz="6" w:space="0"/>
              <w:right w:val="single" w:color="000000" w:sz="6" w:space="0"/>
            </w:tcBorders>
            <w:noWrap w:val="0"/>
            <w:vAlign w:val="center"/>
          </w:tcPr>
          <w:p w14:paraId="16AA022C">
            <w:pPr>
              <w:jc w:val="left"/>
              <w:rPr>
                <w:rFonts w:ascii="Times New Roman" w:hAnsi="Times New Roman"/>
                <w:sz w:val="24"/>
                <w:szCs w:val="24"/>
              </w:rPr>
            </w:pPr>
            <w:r>
              <w:rPr>
                <w:rFonts w:ascii="Times New Roman" w:hAnsi="Times New Roman"/>
                <w:sz w:val="24"/>
                <w:szCs w:val="24"/>
              </w:rPr>
              <w:t>技术标准和要求</w:t>
            </w:r>
          </w:p>
        </w:tc>
        <w:tc>
          <w:tcPr>
            <w:tcW w:w="4497" w:type="dxa"/>
            <w:tcBorders>
              <w:top w:val="single" w:color="000000" w:sz="6" w:space="0"/>
              <w:left w:val="single" w:color="000000" w:sz="6" w:space="0"/>
              <w:bottom w:val="single" w:color="000000" w:sz="6" w:space="0"/>
              <w:right w:val="single" w:color="000000" w:sz="6" w:space="0"/>
            </w:tcBorders>
            <w:noWrap w:val="0"/>
            <w:vAlign w:val="center"/>
          </w:tcPr>
          <w:p w14:paraId="6357D27F">
            <w:pPr>
              <w:jc w:val="left"/>
              <w:rPr>
                <w:rFonts w:ascii="Times New Roman" w:hAnsi="Times New Roman"/>
                <w:sz w:val="24"/>
                <w:szCs w:val="24"/>
              </w:rPr>
            </w:pPr>
            <w:r>
              <w:rPr>
                <w:rFonts w:ascii="Times New Roman" w:hAnsi="Times New Roman"/>
                <w:sz w:val="24"/>
                <w:szCs w:val="24"/>
              </w:rPr>
              <w:t>符合磋商文件要求</w:t>
            </w:r>
          </w:p>
        </w:tc>
      </w:tr>
      <w:tr w14:paraId="0C204C5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395" w:type="dxa"/>
            <w:tcBorders>
              <w:top w:val="single" w:color="000000" w:sz="6" w:space="0"/>
              <w:left w:val="single" w:color="000000" w:sz="6" w:space="0"/>
              <w:bottom w:val="single" w:color="000000" w:sz="6" w:space="0"/>
              <w:right w:val="single" w:color="000000" w:sz="6" w:space="0"/>
            </w:tcBorders>
            <w:noWrap w:val="0"/>
            <w:vAlign w:val="center"/>
          </w:tcPr>
          <w:p w14:paraId="55E5B53D">
            <w:pPr>
              <w:jc w:val="left"/>
              <w:rPr>
                <w:rFonts w:ascii="Times New Roman" w:hAnsi="Times New Roman"/>
                <w:sz w:val="24"/>
                <w:szCs w:val="24"/>
              </w:rPr>
            </w:pPr>
            <w:r>
              <w:rPr>
                <w:rFonts w:hint="eastAsia" w:ascii="Times New Roman" w:hAnsi="Times New Roman"/>
                <w:sz w:val="24"/>
                <w:szCs w:val="24"/>
              </w:rPr>
              <w:t>其他</w:t>
            </w:r>
          </w:p>
        </w:tc>
        <w:tc>
          <w:tcPr>
            <w:tcW w:w="4497" w:type="dxa"/>
            <w:tcBorders>
              <w:top w:val="single" w:color="000000" w:sz="6" w:space="0"/>
              <w:left w:val="single" w:color="000000" w:sz="6" w:space="0"/>
              <w:bottom w:val="single" w:color="000000" w:sz="6" w:space="0"/>
              <w:right w:val="single" w:color="000000" w:sz="6" w:space="0"/>
            </w:tcBorders>
            <w:noWrap w:val="0"/>
            <w:vAlign w:val="center"/>
          </w:tcPr>
          <w:p w14:paraId="60E13327">
            <w:pPr>
              <w:jc w:val="left"/>
              <w:rPr>
                <w:rFonts w:ascii="Times New Roman" w:hAnsi="Times New Roman"/>
                <w:sz w:val="24"/>
                <w:szCs w:val="24"/>
              </w:rPr>
            </w:pPr>
            <w:r>
              <w:rPr>
                <w:rFonts w:ascii="Times New Roman" w:hAnsi="Times New Roman"/>
                <w:sz w:val="24"/>
                <w:szCs w:val="24"/>
              </w:rPr>
              <w:t>符合磋商文件要求</w:t>
            </w:r>
          </w:p>
        </w:tc>
      </w:tr>
    </w:tbl>
    <w:p w14:paraId="0C3524BD">
      <w:pPr>
        <w:spacing w:line="500" w:lineRule="exact"/>
        <w:ind w:firstLine="562"/>
        <w:rPr>
          <w:rFonts w:ascii="Times New Roman" w:hAnsi="Times New Roman"/>
          <w:b/>
          <w:sz w:val="28"/>
        </w:rPr>
      </w:pPr>
      <w:r>
        <w:rPr>
          <w:rFonts w:ascii="Times New Roman" w:hAnsi="Times New Roman"/>
          <w:b/>
          <w:sz w:val="28"/>
        </w:rPr>
        <w:t>三、评分办法—综合评分法</w:t>
      </w:r>
    </w:p>
    <w:p w14:paraId="7180AE0D">
      <w:pPr>
        <w:spacing w:line="500" w:lineRule="exact"/>
        <w:ind w:firstLine="482"/>
        <w:jc w:val="left"/>
        <w:rPr>
          <w:rFonts w:ascii="Times New Roman" w:hAnsi="Times New Roman"/>
          <w:sz w:val="24"/>
        </w:rPr>
      </w:pPr>
      <w:r>
        <w:rPr>
          <w:rFonts w:ascii="Times New Roman" w:hAnsi="Times New Roman"/>
          <w:b/>
          <w:sz w:val="24"/>
        </w:rPr>
        <w:t>（一）评标办法：</w:t>
      </w:r>
      <w:r>
        <w:rPr>
          <w:rFonts w:ascii="Times New Roman" w:hAnsi="Times New Roman"/>
          <w:sz w:val="24"/>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6889E28E">
      <w:pPr>
        <w:spacing w:line="500" w:lineRule="exact"/>
        <w:ind w:firstLine="480"/>
        <w:jc w:val="left"/>
        <w:rPr>
          <w:rFonts w:ascii="Times New Roman" w:hAnsi="Times New Roman"/>
          <w:sz w:val="24"/>
        </w:rPr>
      </w:pPr>
      <w:r>
        <w:rPr>
          <w:rFonts w:ascii="Times New Roman" w:hAnsi="Times New Roman"/>
          <w:sz w:val="24"/>
        </w:rPr>
        <w:t>磋商小组根据评审后供应商排序推荐3名成交候选人。响应文件满足磋商文件全部实质性要求，且评审后排序第一的供应商为第一成交候选人，依次类推。</w:t>
      </w:r>
    </w:p>
    <w:p w14:paraId="1C7C5F19">
      <w:pPr>
        <w:spacing w:line="500" w:lineRule="exact"/>
        <w:ind w:firstLine="480"/>
        <w:jc w:val="left"/>
        <w:rPr>
          <w:rFonts w:ascii="Times New Roman" w:hAnsi="Times New Roman"/>
          <w:sz w:val="24"/>
        </w:rPr>
      </w:pPr>
      <w:r>
        <w:rPr>
          <w:rFonts w:ascii="Times New Roman" w:hAnsi="Times New Roman"/>
          <w:sz w:val="24"/>
        </w:rPr>
        <w:t xml:space="preserve">综合评分保留至小数点后两位。 </w:t>
      </w:r>
    </w:p>
    <w:p w14:paraId="17943CAD">
      <w:pPr>
        <w:numPr>
          <w:ilvl w:val="0"/>
          <w:numId w:val="7"/>
        </w:numPr>
        <w:spacing w:line="500" w:lineRule="exact"/>
        <w:ind w:firstLine="482"/>
        <w:jc w:val="left"/>
        <w:rPr>
          <w:rFonts w:ascii="Times New Roman" w:hAnsi="Times New Roman"/>
          <w:sz w:val="24"/>
        </w:rPr>
      </w:pPr>
      <w:r>
        <w:rPr>
          <w:rFonts w:ascii="Times New Roman" w:hAnsi="Times New Roman"/>
          <w:b/>
          <w:sz w:val="24"/>
        </w:rPr>
        <w:t>详细评审。</w:t>
      </w:r>
      <w:r>
        <w:rPr>
          <w:rFonts w:ascii="Times New Roman" w:hAnsi="Times New Roman"/>
          <w:sz w:val="24"/>
        </w:rPr>
        <w:t>磋商小组按照竞争性磋商文件规定的评分标准，对各响应文件进行详细评审打分。磋商小组组长对各评审专家的打分情况进行复核无误后汇总。</w:t>
      </w:r>
    </w:p>
    <w:tbl>
      <w:tblPr>
        <w:tblStyle w:val="49"/>
        <w:tblW w:w="500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1991"/>
        <w:gridCol w:w="1596"/>
        <w:gridCol w:w="897"/>
        <w:gridCol w:w="4485"/>
      </w:tblGrid>
      <w:tr w14:paraId="099AACF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000" w:type="pct"/>
            <w:gridSpan w:val="2"/>
            <w:tcBorders>
              <w:top w:val="single" w:color="auto" w:sz="6" w:space="0"/>
              <w:left w:val="single" w:color="auto" w:sz="6" w:space="0"/>
              <w:bottom w:val="single" w:color="auto" w:sz="6" w:space="0"/>
              <w:right w:val="single" w:color="auto" w:sz="6" w:space="0"/>
            </w:tcBorders>
            <w:noWrap w:val="0"/>
            <w:vAlign w:val="center"/>
          </w:tcPr>
          <w:p w14:paraId="0B76BBD5">
            <w:pPr>
              <w:jc w:val="center"/>
              <w:rPr>
                <w:rFonts w:ascii="Times New Roman" w:hAnsi="Times New Roman"/>
              </w:rPr>
            </w:pPr>
            <w:r>
              <w:rPr>
                <w:rFonts w:ascii="Times New Roman" w:hAnsi="Times New Roman"/>
              </w:rPr>
              <w:t>评审因素</w:t>
            </w:r>
          </w:p>
        </w:tc>
        <w:tc>
          <w:tcPr>
            <w:tcW w:w="500" w:type="pct"/>
            <w:tcBorders>
              <w:top w:val="single" w:color="auto" w:sz="6" w:space="0"/>
              <w:left w:val="single" w:color="auto" w:sz="6" w:space="0"/>
              <w:bottom w:val="single" w:color="auto" w:sz="6" w:space="0"/>
              <w:right w:val="single" w:color="auto" w:sz="6" w:space="0"/>
            </w:tcBorders>
            <w:noWrap w:val="0"/>
            <w:vAlign w:val="center"/>
          </w:tcPr>
          <w:p w14:paraId="785EDCBB">
            <w:pPr>
              <w:jc w:val="center"/>
              <w:rPr>
                <w:rFonts w:ascii="Times New Roman" w:hAnsi="Times New Roman"/>
              </w:rPr>
            </w:pPr>
            <w:r>
              <w:rPr>
                <w:rFonts w:ascii="Times New Roman" w:hAnsi="Times New Roman"/>
              </w:rPr>
              <w:t>分数</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59CBAA81">
            <w:pPr>
              <w:jc w:val="center"/>
              <w:rPr>
                <w:rFonts w:ascii="Times New Roman" w:hAnsi="Times New Roman"/>
              </w:rPr>
            </w:pPr>
            <w:r>
              <w:rPr>
                <w:rFonts w:ascii="Times New Roman" w:hAnsi="Times New Roman"/>
              </w:rPr>
              <w:t>评审标准</w:t>
            </w:r>
          </w:p>
        </w:tc>
      </w:tr>
      <w:tr w14:paraId="7A6B7C4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16F581BD">
            <w:pPr>
              <w:jc w:val="left"/>
              <w:rPr>
                <w:rFonts w:ascii="Times New Roman" w:hAnsi="Times New Roman"/>
              </w:rPr>
            </w:pPr>
            <w:r>
              <w:rPr>
                <w:rFonts w:ascii="Times New Roman" w:hAnsi="Times New Roman"/>
              </w:rPr>
              <w:t>报价分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A549EA1">
            <w:pPr>
              <w:jc w:val="left"/>
              <w:rPr>
                <w:rFonts w:ascii="Times New Roman" w:hAnsi="Times New Roman"/>
              </w:rPr>
            </w:pPr>
            <w:r>
              <w:rPr>
                <w:rFonts w:ascii="Times New Roman" w:hAnsi="Times New Roman"/>
              </w:rPr>
              <w:t>投标报价</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77CFAAA8">
            <w:pPr>
              <w:jc w:val="left"/>
              <w:rPr>
                <w:rFonts w:ascii="Times New Roman" w:hAnsi="Times New Roman"/>
              </w:rPr>
            </w:pPr>
            <w:r>
              <w:rPr>
                <w:rFonts w:hint="eastAsia" w:ascii="Times New Roman" w:hAnsi="Times New Roman"/>
                <w:lang w:val="en-US" w:eastAsia="zh-CN"/>
              </w:rPr>
              <w:t>15</w:t>
            </w:r>
            <w:r>
              <w:rPr>
                <w:rFonts w:ascii="Times New Roman" w:hAnsi="Times New Roman"/>
              </w:rPr>
              <w:t>.00分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5738EC6">
            <w:pPr>
              <w:jc w:val="left"/>
              <w:rPr>
                <w:rFonts w:ascii="Times New Roman" w:hAnsi="Times New Roman"/>
              </w:rPr>
            </w:pPr>
            <w:r>
              <w:rPr>
                <w:rFonts w:ascii="Times New Roman" w:hAnsi="Times New Roman"/>
              </w:rPr>
              <w:t>采用低价优先法计算，即满足磋商文件要求且最终报价最低的报价为评标基准价，其价格分为满分。其他供应商报价得分＝（评标基准价/其他供应商最终报价）*</w:t>
            </w:r>
            <w:r>
              <w:rPr>
                <w:rFonts w:hint="eastAsia" w:ascii="Times New Roman" w:hAnsi="Times New Roman"/>
                <w:lang w:val="en-US" w:eastAsia="zh-CN"/>
              </w:rPr>
              <w:t>15</w:t>
            </w:r>
            <w:r>
              <w:rPr>
                <w:rFonts w:ascii="Times New Roman" w:hAnsi="Times New Roman"/>
              </w:rPr>
              <w:t>。</w:t>
            </w:r>
          </w:p>
        </w:tc>
      </w:tr>
      <w:tr w14:paraId="0D5445E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auto" w:sz="6" w:space="0"/>
              <w:left w:val="single" w:color="auto" w:sz="6" w:space="0"/>
              <w:right w:val="single" w:color="auto" w:sz="6" w:space="0"/>
            </w:tcBorders>
            <w:noWrap w:val="0"/>
            <w:vAlign w:val="center"/>
          </w:tcPr>
          <w:p w14:paraId="43EDD4CD">
            <w:pPr>
              <w:jc w:val="left"/>
              <w:rPr>
                <w:rFonts w:ascii="Times New Roman" w:hAnsi="Times New Roman"/>
              </w:rPr>
            </w:pPr>
            <w:r>
              <w:rPr>
                <w:rFonts w:ascii="Times New Roman" w:hAnsi="Times New Roman"/>
              </w:rPr>
              <w:t>企业经营业绩、信誉</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277ACB97">
            <w:pPr>
              <w:jc w:val="left"/>
              <w:rPr>
                <w:rFonts w:ascii="Times New Roman" w:hAnsi="Times New Roman"/>
              </w:rPr>
            </w:pPr>
            <w:r>
              <w:rPr>
                <w:rFonts w:ascii="Times New Roman" w:hAnsi="Times New Roman"/>
              </w:rPr>
              <w:t>企业业绩</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75D135D">
            <w:pPr>
              <w:jc w:val="left"/>
              <w:rPr>
                <w:rFonts w:ascii="Times New Roman" w:hAnsi="Times New Roman"/>
              </w:rPr>
            </w:pPr>
            <w:r>
              <w:rPr>
                <w:rFonts w:hint="eastAsia" w:ascii="Times New Roman" w:hAnsi="Times New Roman"/>
              </w:rPr>
              <w:t>12</w:t>
            </w:r>
            <w:r>
              <w:rPr>
                <w:rFonts w:ascii="Times New Roman" w:hAnsi="Times New Roman"/>
              </w:rPr>
              <w:t>.00分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2AFA0EF">
            <w:pPr>
              <w:jc w:val="left"/>
              <w:rPr>
                <w:rFonts w:ascii="Times New Roman" w:hAnsi="Times New Roman"/>
              </w:rPr>
            </w:pPr>
            <w:r>
              <w:rPr>
                <w:rFonts w:hint="eastAsia" w:ascii="Times New Roman" w:hAnsi="Times New Roman"/>
              </w:rPr>
              <w:t>供应商自2023年1月1日（以合同签订时间为准）以来，具备类似的普查调查工作经验（如新增耕地污染状况调查、耕地质量补充评定调查、土壤普查等），每提供一项得2分，最高得12分。</w:t>
            </w:r>
          </w:p>
          <w:p w14:paraId="3EA80D6F">
            <w:pPr>
              <w:jc w:val="left"/>
              <w:rPr>
                <w:rFonts w:ascii="Times New Roman" w:hAnsi="Times New Roman"/>
              </w:rPr>
            </w:pPr>
            <w:r>
              <w:rPr>
                <w:rFonts w:hint="eastAsia" w:ascii="Times New Roman" w:hAnsi="Times New Roman"/>
              </w:rPr>
              <w:t>注：1、须提供中标通知书与业绩合同原件扫描件，否则该业绩不得分，</w:t>
            </w:r>
            <w:r>
              <w:rPr>
                <w:rFonts w:ascii="Times New Roman" w:hAnsi="Times New Roman"/>
                <w:szCs w:val="21"/>
              </w:rPr>
              <w:t>业绩材料要明确反映</w:t>
            </w:r>
            <w:r>
              <w:rPr>
                <w:rFonts w:hint="eastAsia" w:ascii="Times New Roman" w:hAnsi="Times New Roman"/>
                <w:szCs w:val="21"/>
              </w:rPr>
              <w:t>投标供应商</w:t>
            </w:r>
            <w:r>
              <w:rPr>
                <w:rFonts w:ascii="Times New Roman" w:hAnsi="Times New Roman"/>
                <w:szCs w:val="21"/>
              </w:rPr>
              <w:t>名称、项目名称等，否则不予计分。2、</w:t>
            </w:r>
            <w:r>
              <w:rPr>
                <w:rFonts w:hint="eastAsia" w:ascii="Times New Roman" w:hAnsi="Times New Roman"/>
                <w:szCs w:val="21"/>
              </w:rPr>
              <w:t>成交</w:t>
            </w:r>
            <w:r>
              <w:rPr>
                <w:rFonts w:ascii="Times New Roman" w:hAnsi="Times New Roman"/>
                <w:szCs w:val="21"/>
              </w:rPr>
              <w:t>人提供的业绩材料随</w:t>
            </w:r>
            <w:r>
              <w:rPr>
                <w:rFonts w:hint="eastAsia" w:ascii="Times New Roman" w:hAnsi="Times New Roman"/>
                <w:szCs w:val="21"/>
              </w:rPr>
              <w:t>成交</w:t>
            </w:r>
            <w:r>
              <w:rPr>
                <w:rFonts w:ascii="Times New Roman" w:hAnsi="Times New Roman"/>
                <w:szCs w:val="21"/>
              </w:rPr>
              <w:t>结果同步公告。</w:t>
            </w:r>
          </w:p>
        </w:tc>
      </w:tr>
      <w:tr w14:paraId="101D6F8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bottom w:val="single" w:color="auto" w:sz="6" w:space="0"/>
              <w:right w:val="single" w:color="auto" w:sz="6" w:space="0"/>
            </w:tcBorders>
            <w:noWrap w:val="0"/>
            <w:vAlign w:val="center"/>
          </w:tcPr>
          <w:p w14:paraId="70FC67DE">
            <w:pPr>
              <w:jc w:val="left"/>
              <w:rPr>
                <w:rFonts w:ascii="Times New Roman" w:hAnsi="Times New Roman"/>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1339414D">
            <w:pPr>
              <w:jc w:val="left"/>
              <w:rPr>
                <w:rFonts w:ascii="Times New Roman" w:hAnsi="Times New Roman"/>
              </w:rPr>
            </w:pPr>
            <w:r>
              <w:rPr>
                <w:rFonts w:hint="eastAsia" w:ascii="Times New Roman" w:hAnsi="Times New Roman"/>
              </w:rPr>
              <w:t>企业技术能力</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AC7BC66">
            <w:pPr>
              <w:jc w:val="left"/>
              <w:rPr>
                <w:rFonts w:ascii="Times New Roman" w:hAnsi="Times New Roman"/>
              </w:rPr>
            </w:pPr>
            <w:r>
              <w:rPr>
                <w:rFonts w:hint="eastAsia" w:ascii="Times New Roman" w:hAnsi="Times New Roman"/>
              </w:rPr>
              <w:t>3</w:t>
            </w:r>
            <w:r>
              <w:rPr>
                <w:rFonts w:ascii="Times New Roman" w:hAnsi="Times New Roman"/>
              </w:rPr>
              <w:t>.00分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838795F">
            <w:pPr>
              <w:jc w:val="left"/>
              <w:rPr>
                <w:rFonts w:ascii="Times New Roman" w:hAnsi="Times New Roman"/>
              </w:rPr>
            </w:pPr>
            <w:r>
              <w:rPr>
                <w:rFonts w:hint="eastAsia" w:ascii="Times New Roman" w:hAnsi="Times New Roman"/>
              </w:rPr>
              <w:t>供应商具有与污染调查</w:t>
            </w:r>
            <w:r>
              <w:rPr>
                <w:rFonts w:hint="eastAsia" w:ascii="Times New Roman"/>
              </w:rPr>
              <w:t>、</w:t>
            </w:r>
            <w:r>
              <w:rPr>
                <w:rFonts w:hint="eastAsia" w:ascii="Times New Roman" w:hAnsi="Times New Roman"/>
              </w:rPr>
              <w:t>土壤调查、土壤检测、</w:t>
            </w:r>
            <w:r>
              <w:rPr>
                <w:rFonts w:hint="eastAsia" w:ascii="Times New Roman"/>
              </w:rPr>
              <w:t>补充耕地质量评定</w:t>
            </w:r>
            <w:r>
              <w:rPr>
                <w:rFonts w:hint="eastAsia" w:ascii="Times New Roman" w:hAnsi="Times New Roman"/>
              </w:rPr>
              <w:t>、土壤质量评价相关的软件著作权或专利的，每提供一项得1.5分，最高得3分。（提供软件著作权登记证书原件扫描件或专利原件扫描件）</w:t>
            </w:r>
          </w:p>
          <w:p w14:paraId="3CEC7974">
            <w:pPr>
              <w:jc w:val="left"/>
              <w:rPr>
                <w:rFonts w:ascii="Times New Roman" w:hAnsi="Times New Roman"/>
                <w:szCs w:val="21"/>
              </w:rPr>
            </w:pPr>
            <w:r>
              <w:rPr>
                <w:rFonts w:hint="eastAsia" w:ascii="Times New Roman" w:hAnsi="Times New Roman"/>
              </w:rPr>
              <w:t>注：1、</w:t>
            </w:r>
            <w:r>
              <w:rPr>
                <w:rFonts w:hint="eastAsia" w:ascii="Times New Roman" w:hAnsi="Times New Roman"/>
                <w:szCs w:val="21"/>
              </w:rPr>
              <w:t>响应</w:t>
            </w:r>
            <w:r>
              <w:rPr>
                <w:rFonts w:ascii="Times New Roman" w:hAnsi="Times New Roman"/>
                <w:szCs w:val="21"/>
              </w:rPr>
              <w:t>文件中上传有效期内的证书原件扫描件</w:t>
            </w:r>
            <w:r>
              <w:rPr>
                <w:rFonts w:hint="eastAsia" w:ascii="Times New Roman" w:hAnsi="Times New Roman"/>
              </w:rPr>
              <w:t>，未提供原件扫描件或提供的扫描件模糊不清无法辨认的不得分。2、</w:t>
            </w:r>
            <w:r>
              <w:rPr>
                <w:rFonts w:hint="eastAsia" w:ascii="Times New Roman" w:hAnsi="Times New Roman"/>
                <w:szCs w:val="21"/>
              </w:rPr>
              <w:t>成交</w:t>
            </w:r>
            <w:r>
              <w:rPr>
                <w:rFonts w:ascii="Times New Roman" w:hAnsi="Times New Roman"/>
                <w:szCs w:val="21"/>
              </w:rPr>
              <w:t>人提供的证书材料随</w:t>
            </w:r>
            <w:r>
              <w:rPr>
                <w:rFonts w:hint="eastAsia" w:ascii="Times New Roman" w:hAnsi="Times New Roman"/>
                <w:szCs w:val="21"/>
              </w:rPr>
              <w:t>成交</w:t>
            </w:r>
            <w:r>
              <w:rPr>
                <w:rFonts w:ascii="Times New Roman" w:hAnsi="Times New Roman"/>
                <w:szCs w:val="21"/>
              </w:rPr>
              <w:t>结果同步公告。</w:t>
            </w:r>
          </w:p>
        </w:tc>
      </w:tr>
      <w:tr w14:paraId="2ED0B1E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auto" w:sz="6" w:space="0"/>
              <w:left w:val="single" w:color="auto" w:sz="6" w:space="0"/>
              <w:right w:val="single" w:color="auto" w:sz="6" w:space="0"/>
            </w:tcBorders>
            <w:noWrap w:val="0"/>
            <w:vAlign w:val="center"/>
          </w:tcPr>
          <w:p w14:paraId="39C6F9C1">
            <w:pPr>
              <w:jc w:val="left"/>
              <w:rPr>
                <w:rFonts w:ascii="Times New Roman" w:hAnsi="Times New Roman"/>
              </w:rPr>
            </w:pPr>
          </w:p>
          <w:p w14:paraId="77B397A1">
            <w:pPr>
              <w:jc w:val="left"/>
              <w:rPr>
                <w:rFonts w:ascii="Times New Roman" w:hAnsi="Times New Roman"/>
              </w:rPr>
            </w:pPr>
          </w:p>
          <w:p w14:paraId="5ACE40F8">
            <w:pPr>
              <w:jc w:val="left"/>
              <w:rPr>
                <w:rFonts w:ascii="Times New Roman" w:hAnsi="Times New Roman"/>
              </w:rPr>
            </w:pPr>
          </w:p>
          <w:p w14:paraId="38CF16D7">
            <w:pPr>
              <w:jc w:val="left"/>
              <w:rPr>
                <w:rFonts w:ascii="Times New Roman" w:hAnsi="Times New Roman"/>
              </w:rPr>
            </w:pPr>
          </w:p>
          <w:p w14:paraId="04E5C6E7">
            <w:pPr>
              <w:jc w:val="left"/>
              <w:rPr>
                <w:rFonts w:ascii="Times New Roman" w:hAnsi="Times New Roman"/>
              </w:rPr>
            </w:pPr>
          </w:p>
          <w:p w14:paraId="395D2CB8">
            <w:pPr>
              <w:jc w:val="left"/>
              <w:rPr>
                <w:rFonts w:ascii="Times New Roman" w:hAnsi="Times New Roman"/>
              </w:rPr>
            </w:pPr>
          </w:p>
          <w:p w14:paraId="3A7D3853">
            <w:pPr>
              <w:jc w:val="left"/>
              <w:rPr>
                <w:rFonts w:ascii="Times New Roman" w:hAnsi="Times New Roman"/>
              </w:rPr>
            </w:pPr>
          </w:p>
          <w:p w14:paraId="6A182EBD">
            <w:pPr>
              <w:jc w:val="left"/>
              <w:rPr>
                <w:rFonts w:ascii="Times New Roman" w:hAnsi="Times New Roman"/>
              </w:rPr>
            </w:pPr>
          </w:p>
          <w:p w14:paraId="22394119">
            <w:pPr>
              <w:jc w:val="left"/>
              <w:rPr>
                <w:rFonts w:ascii="Times New Roman" w:hAnsi="Times New Roman"/>
              </w:rPr>
            </w:pPr>
          </w:p>
          <w:p w14:paraId="77315449">
            <w:pPr>
              <w:jc w:val="left"/>
              <w:rPr>
                <w:rFonts w:ascii="Times New Roman" w:hAnsi="Times New Roman"/>
              </w:rPr>
            </w:pPr>
          </w:p>
          <w:p w14:paraId="3C75EDB5">
            <w:pPr>
              <w:jc w:val="left"/>
              <w:rPr>
                <w:rFonts w:ascii="Times New Roman" w:hAnsi="Times New Roman"/>
              </w:rPr>
            </w:pPr>
          </w:p>
          <w:p w14:paraId="5A5CBBFF">
            <w:pPr>
              <w:jc w:val="left"/>
              <w:rPr>
                <w:rFonts w:ascii="Times New Roman" w:hAnsi="Times New Roman"/>
              </w:rPr>
            </w:pPr>
          </w:p>
          <w:p w14:paraId="5E1FBC66">
            <w:pPr>
              <w:jc w:val="left"/>
              <w:rPr>
                <w:rFonts w:ascii="Times New Roman" w:hAnsi="Times New Roman"/>
              </w:rPr>
            </w:pPr>
          </w:p>
          <w:p w14:paraId="323E996C">
            <w:pPr>
              <w:jc w:val="left"/>
              <w:rPr>
                <w:rFonts w:ascii="Times New Roman" w:hAnsi="Times New Roman"/>
              </w:rPr>
            </w:pPr>
          </w:p>
          <w:p w14:paraId="52FC46F1">
            <w:pPr>
              <w:jc w:val="left"/>
              <w:rPr>
                <w:rFonts w:ascii="Times New Roman" w:hAnsi="Times New Roman"/>
              </w:rPr>
            </w:pPr>
          </w:p>
          <w:p w14:paraId="5E83BECA">
            <w:pPr>
              <w:jc w:val="left"/>
              <w:rPr>
                <w:rFonts w:ascii="Times New Roman" w:hAnsi="Times New Roman"/>
              </w:rPr>
            </w:pPr>
          </w:p>
          <w:p w14:paraId="7AF9D81B">
            <w:pPr>
              <w:jc w:val="left"/>
              <w:rPr>
                <w:rFonts w:ascii="Times New Roman" w:hAnsi="Times New Roman"/>
              </w:rPr>
            </w:pPr>
          </w:p>
          <w:p w14:paraId="14E2C324">
            <w:pPr>
              <w:jc w:val="left"/>
              <w:rPr>
                <w:rFonts w:ascii="Times New Roman" w:hAnsi="Times New Roman"/>
              </w:rPr>
            </w:pPr>
          </w:p>
          <w:p w14:paraId="1EFBA5EA">
            <w:pPr>
              <w:jc w:val="left"/>
              <w:rPr>
                <w:rFonts w:ascii="Times New Roman" w:hAnsi="Times New Roman"/>
              </w:rPr>
            </w:pPr>
          </w:p>
          <w:p w14:paraId="42235321">
            <w:pPr>
              <w:jc w:val="left"/>
              <w:rPr>
                <w:rFonts w:ascii="Times New Roman" w:hAnsi="Times New Roman"/>
              </w:rPr>
            </w:pPr>
          </w:p>
          <w:p w14:paraId="130F10EC">
            <w:pPr>
              <w:jc w:val="left"/>
              <w:rPr>
                <w:rFonts w:ascii="Times New Roman" w:hAnsi="Times New Roman"/>
              </w:rPr>
            </w:pPr>
          </w:p>
          <w:p w14:paraId="739AFD6A">
            <w:pPr>
              <w:jc w:val="left"/>
              <w:rPr>
                <w:rFonts w:ascii="Times New Roman" w:hAnsi="Times New Roman"/>
              </w:rPr>
            </w:pPr>
          </w:p>
          <w:p w14:paraId="296D8CD8">
            <w:pPr>
              <w:jc w:val="left"/>
              <w:rPr>
                <w:rFonts w:ascii="Times New Roman" w:hAnsi="Times New Roman"/>
              </w:rPr>
            </w:pPr>
          </w:p>
          <w:p w14:paraId="58ECDD38">
            <w:pPr>
              <w:jc w:val="left"/>
              <w:rPr>
                <w:rFonts w:ascii="Times New Roman" w:hAnsi="Times New Roman"/>
              </w:rPr>
            </w:pPr>
          </w:p>
          <w:p w14:paraId="341DEA6F">
            <w:pPr>
              <w:jc w:val="left"/>
              <w:rPr>
                <w:rFonts w:ascii="Times New Roman" w:hAnsi="Times New Roman"/>
              </w:rPr>
            </w:pPr>
          </w:p>
          <w:p w14:paraId="6FEBD68F">
            <w:pPr>
              <w:jc w:val="left"/>
              <w:rPr>
                <w:rFonts w:ascii="Times New Roman" w:hAnsi="Times New Roman"/>
              </w:rPr>
            </w:pPr>
          </w:p>
          <w:p w14:paraId="6B7CF149">
            <w:pPr>
              <w:jc w:val="left"/>
              <w:rPr>
                <w:rFonts w:ascii="Times New Roman" w:hAnsi="Times New Roman"/>
              </w:rPr>
            </w:pPr>
          </w:p>
          <w:p w14:paraId="641FD9F9">
            <w:pPr>
              <w:jc w:val="left"/>
              <w:rPr>
                <w:rFonts w:ascii="Times New Roman" w:hAnsi="Times New Roman"/>
              </w:rPr>
            </w:pPr>
          </w:p>
          <w:p w14:paraId="6E50FDF3">
            <w:pPr>
              <w:jc w:val="left"/>
              <w:rPr>
                <w:rFonts w:ascii="Times New Roman" w:hAnsi="Times New Roman"/>
              </w:rPr>
            </w:pPr>
          </w:p>
          <w:p w14:paraId="23B511A6">
            <w:pPr>
              <w:jc w:val="left"/>
              <w:rPr>
                <w:rFonts w:ascii="Times New Roman" w:hAnsi="Times New Roman"/>
              </w:rPr>
            </w:pPr>
          </w:p>
          <w:p w14:paraId="353C9F7B">
            <w:pPr>
              <w:jc w:val="left"/>
              <w:rPr>
                <w:rFonts w:ascii="Times New Roman" w:hAnsi="Times New Roman"/>
              </w:rPr>
            </w:pPr>
          </w:p>
          <w:p w14:paraId="3EFB82E7">
            <w:pPr>
              <w:jc w:val="left"/>
              <w:rPr>
                <w:rFonts w:ascii="Times New Roman" w:hAnsi="Times New Roman"/>
              </w:rPr>
            </w:pPr>
          </w:p>
          <w:p w14:paraId="1945790A">
            <w:pPr>
              <w:jc w:val="left"/>
              <w:rPr>
                <w:rFonts w:ascii="Times New Roman" w:hAnsi="Times New Roman"/>
              </w:rPr>
            </w:pPr>
          </w:p>
          <w:p w14:paraId="68276BAA">
            <w:pPr>
              <w:jc w:val="left"/>
              <w:rPr>
                <w:rFonts w:ascii="Times New Roman" w:hAnsi="Times New Roman"/>
              </w:rPr>
            </w:pPr>
          </w:p>
          <w:p w14:paraId="4952C8E2">
            <w:pPr>
              <w:jc w:val="left"/>
              <w:rPr>
                <w:rFonts w:ascii="Times New Roman" w:hAnsi="Times New Roman"/>
              </w:rPr>
            </w:pPr>
            <w:r>
              <w:rPr>
                <w:rFonts w:ascii="Times New Roman" w:hAnsi="Times New Roman"/>
              </w:rPr>
              <w:t>项目实施方案</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78BADE6">
            <w:pPr>
              <w:jc w:val="left"/>
              <w:rPr>
                <w:rFonts w:ascii="Times New Roman" w:hAnsi="Times New Roman"/>
              </w:rPr>
            </w:pPr>
            <w:r>
              <w:rPr>
                <w:rFonts w:hint="eastAsia" w:ascii="宋体" w:hAnsi="宋体"/>
                <w:szCs w:val="21"/>
              </w:rPr>
              <w:t>项目理解</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71B5441">
            <w:pPr>
              <w:jc w:val="left"/>
              <w:rPr>
                <w:rFonts w:ascii="Times New Roman" w:hAnsi="Times New Roman"/>
              </w:rPr>
            </w:pPr>
            <w:r>
              <w:rPr>
                <w:rFonts w:hint="eastAsia" w:ascii="Times New Roman" w:hAnsi="Times New Roman"/>
                <w:lang w:val="en-US" w:eastAsia="zh-CN"/>
              </w:rPr>
              <w:t>8</w:t>
            </w:r>
            <w:r>
              <w:rPr>
                <w:rFonts w:ascii="Times New Roman" w:hAnsi="Times New Roman"/>
              </w:rPr>
              <w:t>.00分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AA1A191">
            <w:pPr>
              <w:jc w:val="left"/>
              <w:rPr>
                <w:rFonts w:ascii="Times New Roman" w:hAnsi="Times New Roman"/>
              </w:rPr>
            </w:pPr>
            <w:r>
              <w:rPr>
                <w:rFonts w:ascii="Times New Roman" w:hAnsi="Times New Roman"/>
              </w:rPr>
              <w:t>投标供应商应结合本项目采购需求编制对项目的理解和认识：包括（1）总体目标与原则（2）调查对象介绍（3）调查技术要求</w:t>
            </w:r>
            <w:r>
              <w:rPr>
                <w:rFonts w:hint="eastAsia" w:ascii="Times New Roman" w:hAnsi="Times New Roman"/>
              </w:rPr>
              <w:t>等。磋商小组根据供应商</w:t>
            </w:r>
            <w:r>
              <w:rPr>
                <w:rFonts w:ascii="Times New Roman" w:hAnsi="Times New Roman"/>
              </w:rPr>
              <w:t xml:space="preserve">的总体理解程度和深度，目标任务明确、思路清晰与否进行打分。 </w:t>
            </w:r>
          </w:p>
          <w:p w14:paraId="22A567DF">
            <w:pPr>
              <w:jc w:val="left"/>
              <w:rPr>
                <w:rFonts w:ascii="Times New Roman" w:hAnsi="Times New Roman"/>
              </w:rPr>
            </w:pPr>
            <w:r>
              <w:rPr>
                <w:rFonts w:ascii="Times New Roman" w:hAnsi="Times New Roman"/>
              </w:rPr>
              <w:t>（</w:t>
            </w:r>
            <w:r>
              <w:rPr>
                <w:rFonts w:hint="eastAsia" w:ascii="Times New Roman" w:hAnsi="Times New Roman"/>
              </w:rPr>
              <w:t>1</w:t>
            </w:r>
            <w:r>
              <w:rPr>
                <w:rFonts w:ascii="Times New Roman" w:hAnsi="Times New Roman"/>
              </w:rPr>
              <w:t>）内容构思缜密、符合实际、完整详细，能够针对本项目主要工作内容要求而细化制定方案，语言表述准确清晰，得</w:t>
            </w:r>
            <w:r>
              <w:rPr>
                <w:rFonts w:hint="eastAsia" w:ascii="Times New Roman" w:hAnsi="Times New Roman"/>
                <w:lang w:val="en-US" w:eastAsia="zh-CN"/>
              </w:rPr>
              <w:t>8</w:t>
            </w:r>
            <w:r>
              <w:rPr>
                <w:rFonts w:ascii="Times New Roman" w:hAnsi="Times New Roman"/>
              </w:rPr>
              <w:t>分；</w:t>
            </w:r>
          </w:p>
          <w:p w14:paraId="2D57C1FD">
            <w:pPr>
              <w:jc w:val="left"/>
              <w:rPr>
                <w:rFonts w:ascii="Times New Roman" w:hAnsi="Times New Roman"/>
              </w:rPr>
            </w:pPr>
            <w:r>
              <w:rPr>
                <w:rFonts w:ascii="Times New Roman" w:hAnsi="Times New Roman"/>
              </w:rPr>
              <w:t>（</w:t>
            </w:r>
            <w:r>
              <w:rPr>
                <w:rFonts w:hint="eastAsia" w:ascii="Times New Roman" w:hAnsi="Times New Roman"/>
              </w:rPr>
              <w:t>2</w:t>
            </w:r>
            <w:r>
              <w:rPr>
                <w:rFonts w:ascii="Times New Roman" w:hAnsi="Times New Roman"/>
              </w:rPr>
              <w:t>）内容解读具有比较可行性、合理性</w:t>
            </w:r>
            <w:r>
              <w:rPr>
                <w:rFonts w:hint="eastAsia" w:ascii="Times New Roman" w:hAnsi="Times New Roman"/>
              </w:rPr>
              <w:t>、</w:t>
            </w:r>
            <w:r>
              <w:rPr>
                <w:rFonts w:ascii="Times New Roman" w:hAnsi="Times New Roman"/>
              </w:rPr>
              <w:t>能够基本满足本项目采购需求内容，为本项目制定较完善的工作方案，完整和实用的，得</w:t>
            </w:r>
            <w:r>
              <w:rPr>
                <w:rFonts w:hint="eastAsia" w:ascii="Times New Roman" w:hAnsi="Times New Roman"/>
                <w:lang w:val="en-US" w:eastAsia="zh-CN"/>
              </w:rPr>
              <w:t>6</w:t>
            </w:r>
            <w:r>
              <w:rPr>
                <w:rFonts w:ascii="Times New Roman" w:hAnsi="Times New Roman"/>
              </w:rPr>
              <w:t>分；</w:t>
            </w:r>
          </w:p>
          <w:p w14:paraId="70BCF705">
            <w:pPr>
              <w:jc w:val="left"/>
              <w:rPr>
                <w:rFonts w:ascii="Times New Roman" w:hAnsi="Times New Roman"/>
              </w:rPr>
            </w:pPr>
            <w:r>
              <w:rPr>
                <w:rFonts w:ascii="Times New Roman" w:hAnsi="Times New Roman"/>
              </w:rPr>
              <w:t>（3）内容解读有一定偏差，但不影响实质性内容表达，较具有针对性和可操作性，得</w:t>
            </w:r>
            <w:r>
              <w:rPr>
                <w:rFonts w:hint="eastAsia" w:ascii="Times New Roman" w:hAnsi="Times New Roman"/>
                <w:lang w:val="en-US" w:eastAsia="zh-CN"/>
              </w:rPr>
              <w:t>4</w:t>
            </w:r>
            <w:r>
              <w:rPr>
                <w:rFonts w:ascii="Times New Roman" w:hAnsi="Times New Roman"/>
              </w:rPr>
              <w:t>分；</w:t>
            </w:r>
          </w:p>
          <w:p w14:paraId="32618089">
            <w:pPr>
              <w:jc w:val="left"/>
              <w:rPr>
                <w:rFonts w:ascii="Times New Roman" w:hAnsi="Times New Roman"/>
              </w:rPr>
            </w:pPr>
            <w:r>
              <w:rPr>
                <w:rFonts w:ascii="Times New Roman" w:hAnsi="Times New Roman"/>
              </w:rPr>
              <w:t>（4）有项目</w:t>
            </w:r>
            <w:r>
              <w:rPr>
                <w:rFonts w:hint="eastAsia" w:ascii="Times New Roman" w:hAnsi="Times New Roman"/>
              </w:rPr>
              <w:t>内容</w:t>
            </w:r>
            <w:r>
              <w:rPr>
                <w:rFonts w:ascii="Times New Roman" w:hAnsi="Times New Roman"/>
              </w:rPr>
              <w:t>，但内容模糊，没有针对本项目主要工作内容制定，内容不详实、不完整、内容不全面的，得</w:t>
            </w:r>
            <w:r>
              <w:rPr>
                <w:rFonts w:hint="eastAsia" w:ascii="Times New Roman" w:hAnsi="Times New Roman"/>
                <w:lang w:val="en-US" w:eastAsia="zh-CN"/>
              </w:rPr>
              <w:t>2</w:t>
            </w:r>
            <w:r>
              <w:rPr>
                <w:rFonts w:ascii="Times New Roman" w:hAnsi="Times New Roman"/>
              </w:rPr>
              <w:t>分</w:t>
            </w:r>
            <w:r>
              <w:rPr>
                <w:rFonts w:hint="eastAsia" w:ascii="Times New Roman" w:hAnsi="Times New Roman"/>
              </w:rPr>
              <w:t>；</w:t>
            </w:r>
          </w:p>
          <w:p w14:paraId="2A2EFCCC">
            <w:pPr>
              <w:jc w:val="left"/>
              <w:rPr>
                <w:rFonts w:ascii="Times New Roman" w:hAnsi="Times New Roman"/>
              </w:rPr>
            </w:pPr>
            <w:r>
              <w:rPr>
                <w:rFonts w:ascii="Times New Roman" w:hAnsi="Times New Roman"/>
              </w:rPr>
              <w:t>（</w:t>
            </w:r>
            <w:r>
              <w:rPr>
                <w:rFonts w:hint="eastAsia" w:ascii="Times New Roman" w:hAnsi="Times New Roman"/>
              </w:rPr>
              <w:t>5</w:t>
            </w:r>
            <w:r>
              <w:rPr>
                <w:rFonts w:ascii="Times New Roman" w:hAnsi="Times New Roman"/>
              </w:rPr>
              <w:t>）没有内容的不得分。</w:t>
            </w:r>
          </w:p>
        </w:tc>
      </w:tr>
      <w:tr w14:paraId="5CB2274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right w:val="single" w:color="auto" w:sz="6" w:space="0"/>
            </w:tcBorders>
            <w:noWrap w:val="0"/>
            <w:vAlign w:val="center"/>
          </w:tcPr>
          <w:p w14:paraId="5DB6017A">
            <w:pPr>
              <w:jc w:val="left"/>
              <w:rPr>
                <w:rFonts w:ascii="Times New Roman" w:hAnsi="Times New Roman"/>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0664341E">
            <w:pPr>
              <w:jc w:val="left"/>
              <w:rPr>
                <w:rFonts w:ascii="Times New Roman" w:hAnsi="Times New Roman"/>
              </w:rPr>
            </w:pPr>
            <w:r>
              <w:rPr>
                <w:rFonts w:hint="eastAsia" w:ascii="宋体" w:hAnsi="宋体"/>
                <w:szCs w:val="21"/>
              </w:rPr>
              <w:t>技术方案</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83E5BF7">
            <w:pPr>
              <w:jc w:val="left"/>
              <w:rPr>
                <w:rFonts w:ascii="Times New Roman" w:hAnsi="Times New Roman"/>
              </w:rPr>
            </w:pPr>
            <w:r>
              <w:rPr>
                <w:rFonts w:hint="eastAsia" w:ascii="Times New Roman" w:hAnsi="Times New Roman"/>
                <w:lang w:val="en-US" w:eastAsia="zh-CN"/>
              </w:rPr>
              <w:t>9</w:t>
            </w:r>
            <w:r>
              <w:rPr>
                <w:rFonts w:ascii="Times New Roman" w:hAnsi="Times New Roman"/>
              </w:rPr>
              <w:t>.00分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C20C762">
            <w:pPr>
              <w:jc w:val="left"/>
              <w:rPr>
                <w:rFonts w:ascii="Times New Roman" w:hAnsi="Times New Roman"/>
              </w:rPr>
            </w:pPr>
            <w:r>
              <w:rPr>
                <w:rFonts w:ascii="Times New Roman" w:hAnsi="Times New Roman"/>
              </w:rPr>
              <w:t>根据本项目特征梳理本项目技术路线，形成完整的技术思路，根据投标人提供的技术方案（需</w:t>
            </w:r>
            <w:r>
              <w:rPr>
                <w:rFonts w:hint="eastAsia" w:ascii="Times New Roman" w:hAnsi="Times New Roman"/>
              </w:rPr>
              <w:t>包含现场</w:t>
            </w:r>
            <w:r>
              <w:rPr>
                <w:rFonts w:ascii="Times New Roman" w:hAnsi="Times New Roman"/>
              </w:rPr>
              <w:t>踏勘方案、</w:t>
            </w:r>
            <w:r>
              <w:rPr>
                <w:rFonts w:hint="eastAsia" w:ascii="Times New Roman" w:hAnsi="Times New Roman"/>
              </w:rPr>
              <w:t>土壤</w:t>
            </w:r>
            <w:r>
              <w:rPr>
                <w:rFonts w:ascii="Times New Roman" w:hAnsi="Times New Roman"/>
              </w:rPr>
              <w:t>采样方案、</w:t>
            </w:r>
            <w:r>
              <w:rPr>
                <w:rFonts w:hint="eastAsia" w:ascii="Times New Roman" w:hAnsi="Times New Roman"/>
              </w:rPr>
              <w:t>土壤样品检测方案、评审会议组织方案等四个技术方案</w:t>
            </w:r>
            <w:r>
              <w:rPr>
                <w:rFonts w:ascii="Times New Roman" w:hAnsi="Times New Roman"/>
              </w:rPr>
              <w:t>），针对以上技术方案的科学性、</w:t>
            </w:r>
            <w:r>
              <w:rPr>
                <w:rFonts w:hint="eastAsia" w:ascii="Times New Roman" w:hAnsi="Times New Roman"/>
              </w:rPr>
              <w:t>实施</w:t>
            </w:r>
            <w:r>
              <w:rPr>
                <w:rFonts w:ascii="Times New Roman" w:hAnsi="Times New Roman"/>
              </w:rPr>
              <w:t xml:space="preserve">性、合理性及可行性进行打分。 </w:t>
            </w:r>
          </w:p>
          <w:p w14:paraId="0D247285">
            <w:pPr>
              <w:jc w:val="left"/>
              <w:rPr>
                <w:rFonts w:ascii="Times New Roman" w:hAnsi="Times New Roman"/>
              </w:rPr>
            </w:pPr>
            <w:r>
              <w:rPr>
                <w:rFonts w:ascii="Times New Roman" w:hAnsi="Times New Roman"/>
              </w:rPr>
              <w:t>（</w:t>
            </w:r>
            <w:r>
              <w:rPr>
                <w:rFonts w:hint="eastAsia" w:ascii="Times New Roman" w:hAnsi="Times New Roman"/>
              </w:rPr>
              <w:t>1</w:t>
            </w:r>
            <w:r>
              <w:rPr>
                <w:rFonts w:ascii="Times New Roman" w:hAnsi="Times New Roman"/>
              </w:rPr>
              <w:t>）内容构思缜密、符合实际、完整详细，能够针对本项目主要工作内容要求而细化制定方案，语言表述准确清晰，具有优秀的实施性和可行性，方案科学合理的，</w:t>
            </w:r>
            <w:r>
              <w:rPr>
                <w:rFonts w:hint="eastAsia" w:ascii="Times New Roman" w:hAnsi="Times New Roman"/>
              </w:rPr>
              <w:t>得</w:t>
            </w:r>
            <w:r>
              <w:rPr>
                <w:rFonts w:hint="eastAsia" w:ascii="Times New Roman" w:hAnsi="Times New Roman"/>
                <w:lang w:val="en-US" w:eastAsia="zh-CN"/>
              </w:rPr>
              <w:t>9</w:t>
            </w:r>
            <w:r>
              <w:rPr>
                <w:rFonts w:hint="eastAsia" w:ascii="Times New Roman" w:hAnsi="Times New Roman"/>
              </w:rPr>
              <w:t>分</w:t>
            </w:r>
            <w:r>
              <w:rPr>
                <w:rFonts w:ascii="Times New Roman" w:hAnsi="Times New Roman"/>
              </w:rPr>
              <w:t>；</w:t>
            </w:r>
          </w:p>
          <w:p w14:paraId="173F75ED">
            <w:pPr>
              <w:jc w:val="left"/>
              <w:rPr>
                <w:rFonts w:ascii="Times New Roman" w:hAnsi="Times New Roman"/>
              </w:rPr>
            </w:pPr>
            <w:r>
              <w:rPr>
                <w:rFonts w:ascii="Times New Roman" w:hAnsi="Times New Roman"/>
              </w:rPr>
              <w:t>（</w:t>
            </w:r>
            <w:r>
              <w:rPr>
                <w:rFonts w:hint="eastAsia" w:ascii="Times New Roman" w:hAnsi="Times New Roman"/>
              </w:rPr>
              <w:t>2</w:t>
            </w:r>
            <w:r>
              <w:rPr>
                <w:rFonts w:ascii="Times New Roman" w:hAnsi="Times New Roman"/>
              </w:rPr>
              <w:t>）内容解读具有比较好的可行性、合理性</w:t>
            </w:r>
            <w:r>
              <w:rPr>
                <w:rFonts w:hint="eastAsia" w:ascii="Times New Roman" w:hAnsi="Times New Roman"/>
              </w:rPr>
              <w:t>，</w:t>
            </w:r>
            <w:r>
              <w:rPr>
                <w:rFonts w:ascii="Times New Roman" w:hAnsi="Times New Roman"/>
              </w:rPr>
              <w:t>能够基本满足本项目采购需求内容，为本项目制定较完善的工作方案，完整和实用的得</w:t>
            </w:r>
            <w:r>
              <w:rPr>
                <w:rFonts w:hint="eastAsia" w:ascii="Times New Roman" w:hAnsi="Times New Roman"/>
              </w:rPr>
              <w:t>得</w:t>
            </w:r>
            <w:r>
              <w:rPr>
                <w:rFonts w:hint="eastAsia" w:ascii="Times New Roman" w:hAnsi="Times New Roman"/>
                <w:lang w:val="en-US" w:eastAsia="zh-CN"/>
              </w:rPr>
              <w:t>7</w:t>
            </w:r>
            <w:r>
              <w:rPr>
                <w:rFonts w:hint="eastAsia" w:ascii="Times New Roman" w:hAnsi="Times New Roman"/>
              </w:rPr>
              <w:t>分</w:t>
            </w:r>
            <w:r>
              <w:rPr>
                <w:rFonts w:ascii="Times New Roman" w:hAnsi="Times New Roman"/>
              </w:rPr>
              <w:t>；</w:t>
            </w:r>
          </w:p>
          <w:p w14:paraId="21595FBF">
            <w:pPr>
              <w:jc w:val="left"/>
              <w:rPr>
                <w:rFonts w:ascii="Times New Roman" w:hAnsi="Times New Roman"/>
              </w:rPr>
            </w:pPr>
            <w:r>
              <w:rPr>
                <w:rFonts w:ascii="Times New Roman" w:hAnsi="Times New Roman"/>
              </w:rPr>
              <w:t>（3）方案内容有一定偏差，虽然可行性和实施性一般，但不影响实质内容表达，较具有针对性和可操作性，</w:t>
            </w:r>
            <w:r>
              <w:rPr>
                <w:rFonts w:hint="eastAsia" w:ascii="Times New Roman" w:hAnsi="Times New Roman"/>
              </w:rPr>
              <w:t>得</w:t>
            </w:r>
            <w:r>
              <w:rPr>
                <w:rFonts w:hint="eastAsia" w:ascii="Times New Roman" w:hAnsi="Times New Roman"/>
                <w:lang w:val="en-US" w:eastAsia="zh-CN"/>
              </w:rPr>
              <w:t>5</w:t>
            </w:r>
            <w:r>
              <w:rPr>
                <w:rFonts w:hint="eastAsia" w:ascii="Times New Roman" w:hAnsi="Times New Roman"/>
              </w:rPr>
              <w:t>分</w:t>
            </w:r>
            <w:r>
              <w:rPr>
                <w:rFonts w:ascii="Times New Roman" w:hAnsi="Times New Roman"/>
              </w:rPr>
              <w:t>；</w:t>
            </w:r>
          </w:p>
          <w:p w14:paraId="01D0A4F6">
            <w:pPr>
              <w:jc w:val="left"/>
              <w:rPr>
                <w:rFonts w:ascii="Times New Roman" w:hAnsi="Times New Roman"/>
              </w:rPr>
            </w:pPr>
            <w:r>
              <w:rPr>
                <w:rFonts w:ascii="Times New Roman" w:hAnsi="Times New Roman"/>
              </w:rPr>
              <w:t>（4）有项目实施方案， 但方案内容模糊，没有针对本项目主要工作内容制定，内容不详实、不完整、内容不全面的</w:t>
            </w:r>
            <w:r>
              <w:rPr>
                <w:rFonts w:hint="eastAsia" w:ascii="Times New Roman" w:hAnsi="Times New Roman"/>
              </w:rPr>
              <w:t>得</w:t>
            </w:r>
            <w:r>
              <w:rPr>
                <w:rFonts w:hint="eastAsia" w:ascii="Times New Roman" w:hAnsi="Times New Roman"/>
                <w:lang w:val="en-US" w:eastAsia="zh-CN"/>
              </w:rPr>
              <w:t>3</w:t>
            </w:r>
            <w:r>
              <w:rPr>
                <w:rFonts w:hint="eastAsia" w:ascii="Times New Roman" w:hAnsi="Times New Roman"/>
              </w:rPr>
              <w:t>分</w:t>
            </w:r>
            <w:r>
              <w:rPr>
                <w:rFonts w:ascii="Times New Roman" w:hAnsi="Times New Roman"/>
              </w:rPr>
              <w:t>；</w:t>
            </w:r>
          </w:p>
          <w:p w14:paraId="5370AA5B">
            <w:pPr>
              <w:jc w:val="left"/>
              <w:rPr>
                <w:rFonts w:ascii="宋体" w:hAnsi="宋体" w:cs="宋体"/>
                <w:sz w:val="24"/>
                <w:szCs w:val="24"/>
              </w:rPr>
            </w:pPr>
            <w:r>
              <w:rPr>
                <w:rFonts w:ascii="Times New Roman" w:hAnsi="Times New Roman"/>
              </w:rPr>
              <w:t>（</w:t>
            </w:r>
            <w:r>
              <w:rPr>
                <w:rFonts w:hint="eastAsia" w:ascii="Times New Roman" w:hAnsi="Times New Roman"/>
              </w:rPr>
              <w:t>5</w:t>
            </w:r>
            <w:r>
              <w:rPr>
                <w:rFonts w:ascii="Times New Roman" w:hAnsi="Times New Roman"/>
              </w:rPr>
              <w:t>）没有内容的不得分。</w:t>
            </w:r>
          </w:p>
        </w:tc>
      </w:tr>
      <w:tr w14:paraId="518465B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right w:val="single" w:color="auto" w:sz="6" w:space="0"/>
            </w:tcBorders>
            <w:noWrap w:val="0"/>
            <w:vAlign w:val="center"/>
          </w:tcPr>
          <w:p w14:paraId="104EDD20">
            <w:pPr>
              <w:jc w:val="left"/>
              <w:rPr>
                <w:rFonts w:ascii="Times New Roman" w:hAnsi="Times New Roman"/>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60A67C5">
            <w:pPr>
              <w:jc w:val="left"/>
              <w:rPr>
                <w:rFonts w:ascii="宋体" w:hAnsi="宋体"/>
                <w:szCs w:val="21"/>
              </w:rPr>
            </w:pPr>
            <w:r>
              <w:rPr>
                <w:rFonts w:hint="eastAsia" w:ascii="宋体" w:hAnsi="宋体"/>
                <w:szCs w:val="21"/>
              </w:rPr>
              <w:t>组织方案</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62DA9FE4">
            <w:pPr>
              <w:jc w:val="left"/>
              <w:rPr>
                <w:rFonts w:ascii="Times New Roman" w:hAnsi="Times New Roman"/>
              </w:rPr>
            </w:pPr>
            <w:r>
              <w:rPr>
                <w:rFonts w:hint="eastAsia" w:ascii="Times New Roman" w:hAnsi="Times New Roman"/>
                <w:lang w:val="en-US" w:eastAsia="zh-CN"/>
              </w:rPr>
              <w:t>8</w:t>
            </w:r>
            <w:r>
              <w:rPr>
                <w:rFonts w:ascii="Times New Roman" w:hAnsi="Times New Roman"/>
              </w:rPr>
              <w:t>.00分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8327077">
            <w:pPr>
              <w:widowControl/>
              <w:jc w:val="left"/>
              <w:rPr>
                <w:rFonts w:ascii="宋体" w:hAnsi="宋体" w:cs="宋体"/>
                <w:szCs w:val="21"/>
              </w:rPr>
            </w:pPr>
            <w:r>
              <w:rPr>
                <w:rFonts w:hint="eastAsia" w:ascii="宋体" w:hAnsi="宋体" w:cs="宋体"/>
                <w:szCs w:val="21"/>
              </w:rPr>
              <w:t>根据供应商提供针对本项目的项目组织方案进行综合评分。</w:t>
            </w:r>
          </w:p>
          <w:p w14:paraId="5150EB50">
            <w:pPr>
              <w:widowControl/>
              <w:numPr>
                <w:ilvl w:val="0"/>
                <w:numId w:val="8"/>
              </w:numPr>
              <w:jc w:val="left"/>
              <w:rPr>
                <w:rFonts w:ascii="宋体" w:hAnsi="宋体" w:cs="宋体"/>
                <w:szCs w:val="21"/>
              </w:rPr>
            </w:pPr>
            <w:r>
              <w:rPr>
                <w:rFonts w:hint="eastAsia" w:ascii="宋体" w:hAnsi="宋体" w:cs="宋体"/>
                <w:szCs w:val="21"/>
              </w:rPr>
              <w:t>项目组织方案在项目实施过程和后续支撑中提出的服务保障措施明确、可行、针对强，计划详尽、准确、针对性强且合理可行的得</w:t>
            </w:r>
            <w:r>
              <w:rPr>
                <w:rFonts w:hint="eastAsia" w:ascii="Times New Roman" w:hAnsi="Times New Roman"/>
                <w:lang w:val="en-US" w:eastAsia="zh-CN"/>
              </w:rPr>
              <w:t>8</w:t>
            </w:r>
            <w:r>
              <w:rPr>
                <w:rFonts w:hint="eastAsia" w:ascii="Times New Roman" w:hAnsi="Times New Roman"/>
              </w:rPr>
              <w:t>分</w:t>
            </w:r>
            <w:r>
              <w:rPr>
                <w:rFonts w:hint="eastAsia" w:ascii="宋体" w:hAnsi="宋体" w:cs="宋体"/>
                <w:szCs w:val="21"/>
              </w:rPr>
              <w:t>；</w:t>
            </w:r>
          </w:p>
          <w:p w14:paraId="6867A6E5">
            <w:pPr>
              <w:widowControl/>
              <w:jc w:val="left"/>
              <w:rPr>
                <w:rFonts w:ascii="宋体" w:hAnsi="宋体" w:cs="宋体"/>
                <w:szCs w:val="21"/>
              </w:rPr>
            </w:pPr>
            <w:r>
              <w:rPr>
                <w:rFonts w:hint="eastAsia" w:ascii="宋体" w:hAnsi="宋体" w:cs="宋体"/>
                <w:szCs w:val="21"/>
              </w:rPr>
              <w:t>（2）项目组织方案内容具有比较可行性、合理性、能够基本满足本项目采购需求内容，为本项目制定较完善的工作方案，完整和实用的得</w:t>
            </w:r>
            <w:r>
              <w:rPr>
                <w:rFonts w:hint="eastAsia" w:ascii="Times New Roman" w:hAnsi="Times New Roman"/>
                <w:lang w:val="en-US" w:eastAsia="zh-CN"/>
              </w:rPr>
              <w:t>6</w:t>
            </w:r>
            <w:r>
              <w:rPr>
                <w:rFonts w:hint="eastAsia" w:ascii="Times New Roman" w:hAnsi="Times New Roman"/>
              </w:rPr>
              <w:t>分</w:t>
            </w:r>
            <w:r>
              <w:rPr>
                <w:rFonts w:hint="eastAsia" w:ascii="宋体" w:hAnsi="宋体" w:cs="宋体"/>
                <w:szCs w:val="21"/>
              </w:rPr>
              <w:t>；</w:t>
            </w:r>
          </w:p>
          <w:p w14:paraId="0EF1259A">
            <w:pPr>
              <w:jc w:val="left"/>
              <w:rPr>
                <w:rFonts w:ascii="Times New Roman" w:hAnsi="Times New Roman"/>
              </w:rPr>
            </w:pPr>
            <w:r>
              <w:rPr>
                <w:rFonts w:hint="eastAsia" w:ascii="宋体" w:hAnsi="宋体" w:cs="宋体"/>
                <w:szCs w:val="21"/>
              </w:rPr>
              <w:t>（3）项目组织</w:t>
            </w:r>
            <w:r>
              <w:rPr>
                <w:rFonts w:hint="eastAsia" w:ascii="Times New Roman" w:hAnsi="Times New Roman"/>
              </w:rPr>
              <w:t>方案内容有一定偏差，但不影响实质性内容表达，较具有针对性和可操作性，得</w:t>
            </w:r>
            <w:r>
              <w:rPr>
                <w:rFonts w:hint="eastAsia" w:ascii="Times New Roman" w:hAnsi="Times New Roman"/>
                <w:lang w:val="en-US" w:eastAsia="zh-CN"/>
              </w:rPr>
              <w:t>4</w:t>
            </w:r>
            <w:r>
              <w:rPr>
                <w:rFonts w:hint="eastAsia" w:ascii="Times New Roman" w:hAnsi="Times New Roman"/>
              </w:rPr>
              <w:t>分；</w:t>
            </w:r>
          </w:p>
          <w:p w14:paraId="4799FE9A">
            <w:pPr>
              <w:widowControl/>
              <w:jc w:val="left"/>
              <w:rPr>
                <w:rFonts w:ascii="宋体" w:hAnsi="宋体" w:cs="宋体"/>
                <w:szCs w:val="21"/>
              </w:rPr>
            </w:pPr>
            <w:r>
              <w:rPr>
                <w:rFonts w:hint="eastAsia" w:ascii="宋体" w:hAnsi="宋体" w:cs="宋体"/>
                <w:szCs w:val="21"/>
              </w:rPr>
              <w:t>（4）项目组织方案内容模糊，没有针对本项目主要工作内容制定，内容不详实、不完整、内容不全面的得</w:t>
            </w:r>
            <w:r>
              <w:rPr>
                <w:rFonts w:hint="eastAsia" w:ascii="宋体" w:hAnsi="宋体" w:cs="宋体"/>
                <w:szCs w:val="21"/>
                <w:lang w:val="en-US" w:eastAsia="zh-CN"/>
              </w:rPr>
              <w:t>2</w:t>
            </w:r>
            <w:r>
              <w:rPr>
                <w:rFonts w:hint="eastAsia" w:ascii="宋体" w:hAnsi="宋体" w:cs="宋体"/>
                <w:szCs w:val="21"/>
              </w:rPr>
              <w:t>分</w:t>
            </w:r>
          </w:p>
          <w:p w14:paraId="6B3D33B8">
            <w:pPr>
              <w:jc w:val="left"/>
              <w:rPr>
                <w:rFonts w:ascii="Times New Roman" w:hAnsi="Times New Roman"/>
              </w:rPr>
            </w:pPr>
            <w:r>
              <w:rPr>
                <w:rFonts w:hint="eastAsia" w:ascii="宋体" w:hAnsi="宋体" w:cs="宋体"/>
                <w:szCs w:val="21"/>
              </w:rPr>
              <w:t>（5）没有内容的不得分。</w:t>
            </w:r>
          </w:p>
        </w:tc>
      </w:tr>
      <w:tr w14:paraId="4CEF49E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right w:val="single" w:color="auto" w:sz="6" w:space="0"/>
            </w:tcBorders>
            <w:noWrap w:val="0"/>
            <w:vAlign w:val="center"/>
          </w:tcPr>
          <w:p w14:paraId="4CB3DCAD">
            <w:pPr>
              <w:jc w:val="left"/>
              <w:rPr>
                <w:rFonts w:ascii="Times New Roman" w:hAnsi="Times New Roman"/>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4EF7E1A">
            <w:pPr>
              <w:jc w:val="left"/>
              <w:rPr>
                <w:rFonts w:ascii="宋体" w:hAnsi="宋体"/>
                <w:szCs w:val="21"/>
              </w:rPr>
            </w:pPr>
            <w:r>
              <w:rPr>
                <w:rFonts w:ascii="Times New Roman" w:hAnsi="Times New Roman"/>
                <w:szCs w:val="21"/>
              </w:rPr>
              <w:t>项目进度安排</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A14E245">
            <w:pPr>
              <w:jc w:val="left"/>
              <w:rPr>
                <w:rFonts w:ascii="Times New Roman" w:hAnsi="Times New Roman"/>
              </w:rPr>
            </w:pPr>
            <w:r>
              <w:rPr>
                <w:rFonts w:hint="eastAsia" w:ascii="Times New Roman" w:hAnsi="Times New Roman"/>
                <w:lang w:val="en-US" w:eastAsia="zh-CN"/>
              </w:rPr>
              <w:t>8</w:t>
            </w:r>
            <w:r>
              <w:rPr>
                <w:rFonts w:ascii="Times New Roman" w:hAnsi="Times New Roman"/>
              </w:rPr>
              <w:t>.00分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3DC9E50">
            <w:pPr>
              <w:jc w:val="left"/>
              <w:rPr>
                <w:rFonts w:ascii="Times New Roman" w:hAnsi="Times New Roman"/>
              </w:rPr>
            </w:pPr>
            <w:r>
              <w:rPr>
                <w:rFonts w:ascii="Times New Roman" w:hAnsi="Times New Roman"/>
              </w:rPr>
              <w:t>根据项目需求分析</w:t>
            </w:r>
            <w:r>
              <w:rPr>
                <w:rFonts w:hint="eastAsia" w:ascii="Times New Roman" w:hAnsi="Times New Roman"/>
              </w:rPr>
              <w:t>，</w:t>
            </w:r>
            <w:r>
              <w:rPr>
                <w:rFonts w:ascii="Times New Roman" w:hAnsi="Times New Roman"/>
              </w:rPr>
              <w:t>从供应商对项目完成期限</w:t>
            </w:r>
            <w:r>
              <w:rPr>
                <w:rFonts w:hint="eastAsia" w:ascii="Times New Roman" w:hAnsi="Times New Roman"/>
              </w:rPr>
              <w:t>，</w:t>
            </w:r>
            <w:r>
              <w:rPr>
                <w:rFonts w:ascii="Times New Roman" w:hAnsi="Times New Roman"/>
              </w:rPr>
              <w:t xml:space="preserve">对项目进度安排合理性、工序管理措施科学性、工期滞后弥补办法、突发情况应急办法、工期时间长短进行评审，编制详细、可行的实施方案。 </w:t>
            </w:r>
          </w:p>
          <w:p w14:paraId="4AF154A6">
            <w:pPr>
              <w:jc w:val="left"/>
              <w:rPr>
                <w:rFonts w:ascii="Times New Roman" w:hAnsi="Times New Roman"/>
              </w:rPr>
            </w:pPr>
            <w:r>
              <w:rPr>
                <w:rFonts w:ascii="Times New Roman" w:hAnsi="Times New Roman"/>
              </w:rPr>
              <w:t>（</w:t>
            </w:r>
            <w:r>
              <w:rPr>
                <w:rFonts w:hint="eastAsia" w:ascii="Times New Roman" w:hAnsi="Times New Roman"/>
              </w:rPr>
              <w:t>1</w:t>
            </w:r>
            <w:r>
              <w:rPr>
                <w:rFonts w:ascii="Times New Roman" w:hAnsi="Times New Roman"/>
              </w:rPr>
              <w:t>）内容构思缜密、符合实际、完整详细，能够制定详细、具体方案，语言表述准确清晰，</w:t>
            </w:r>
            <w:r>
              <w:rPr>
                <w:rFonts w:hint="eastAsia" w:ascii="Times New Roman" w:hAnsi="Times New Roman"/>
              </w:rPr>
              <w:t>得</w:t>
            </w:r>
            <w:r>
              <w:rPr>
                <w:rFonts w:hint="eastAsia" w:ascii="Times New Roman" w:hAnsi="Times New Roman"/>
                <w:lang w:val="en-US" w:eastAsia="zh-CN"/>
              </w:rPr>
              <w:t>8</w:t>
            </w:r>
            <w:r>
              <w:rPr>
                <w:rFonts w:hint="eastAsia" w:ascii="Times New Roman" w:hAnsi="Times New Roman"/>
              </w:rPr>
              <w:t>分</w:t>
            </w:r>
            <w:r>
              <w:rPr>
                <w:rFonts w:ascii="Times New Roman" w:hAnsi="Times New Roman"/>
              </w:rPr>
              <w:t>；</w:t>
            </w:r>
          </w:p>
          <w:p w14:paraId="35677E61">
            <w:pPr>
              <w:jc w:val="left"/>
              <w:rPr>
                <w:rFonts w:ascii="Times New Roman" w:hAnsi="Times New Roman"/>
              </w:rPr>
            </w:pPr>
            <w:r>
              <w:rPr>
                <w:rFonts w:ascii="Times New Roman" w:hAnsi="Times New Roman"/>
              </w:rPr>
              <w:t>（2）内容解读具有比较可行性、合理性、能够基本满足本项目采购需求内容，为本项目制定较完善的工作方案，完整和实用的</w:t>
            </w:r>
            <w:r>
              <w:rPr>
                <w:rFonts w:hint="eastAsia" w:ascii="Times New Roman" w:hAnsi="Times New Roman"/>
              </w:rPr>
              <w:t>得</w:t>
            </w:r>
            <w:r>
              <w:rPr>
                <w:rFonts w:hint="eastAsia" w:ascii="Times New Roman" w:hAnsi="Times New Roman"/>
                <w:lang w:val="en-US" w:eastAsia="zh-CN"/>
              </w:rPr>
              <w:t>6</w:t>
            </w:r>
            <w:r>
              <w:rPr>
                <w:rFonts w:hint="eastAsia" w:ascii="Times New Roman" w:hAnsi="Times New Roman"/>
              </w:rPr>
              <w:t>分</w:t>
            </w:r>
            <w:r>
              <w:rPr>
                <w:rFonts w:ascii="Times New Roman" w:hAnsi="Times New Roman"/>
              </w:rPr>
              <w:t>；</w:t>
            </w:r>
          </w:p>
          <w:p w14:paraId="58083E3A">
            <w:pPr>
              <w:jc w:val="left"/>
              <w:rPr>
                <w:rFonts w:ascii="Times New Roman" w:hAnsi="Times New Roman"/>
              </w:rPr>
            </w:pPr>
            <w:r>
              <w:rPr>
                <w:rFonts w:hint="eastAsia" w:ascii="Times New Roman" w:hAnsi="Times New Roman"/>
              </w:rPr>
              <w:t>（</w:t>
            </w:r>
            <w:r>
              <w:rPr>
                <w:rFonts w:ascii="Times New Roman" w:hAnsi="Times New Roman"/>
              </w:rPr>
              <w:t>3</w:t>
            </w:r>
            <w:r>
              <w:rPr>
                <w:rFonts w:hint="eastAsia" w:ascii="Times New Roman" w:hAnsi="Times New Roman"/>
              </w:rPr>
              <w:t>）</w:t>
            </w:r>
            <w:r>
              <w:rPr>
                <w:rFonts w:ascii="Times New Roman" w:hAnsi="Times New Roman"/>
              </w:rPr>
              <w:t>方案内容有一定偏差，但不影响实质性内容表达，较具有针对性和可操作性，</w:t>
            </w:r>
            <w:r>
              <w:rPr>
                <w:rFonts w:hint="eastAsia" w:ascii="Times New Roman" w:hAnsi="Times New Roman"/>
              </w:rPr>
              <w:t>得</w:t>
            </w:r>
            <w:r>
              <w:rPr>
                <w:rFonts w:hint="eastAsia" w:ascii="Times New Roman" w:hAnsi="Times New Roman"/>
                <w:lang w:val="en-US" w:eastAsia="zh-CN"/>
              </w:rPr>
              <w:t>4</w:t>
            </w:r>
            <w:r>
              <w:rPr>
                <w:rFonts w:hint="eastAsia" w:ascii="Times New Roman" w:hAnsi="Times New Roman"/>
              </w:rPr>
              <w:t>分</w:t>
            </w:r>
            <w:r>
              <w:rPr>
                <w:rFonts w:ascii="Times New Roman" w:hAnsi="Times New Roman"/>
              </w:rPr>
              <w:t>；</w:t>
            </w:r>
          </w:p>
          <w:p w14:paraId="76AF406E">
            <w:pPr>
              <w:jc w:val="left"/>
              <w:rPr>
                <w:rFonts w:ascii="Times New Roman" w:hAnsi="Times New Roman"/>
              </w:rPr>
            </w:pPr>
            <w:r>
              <w:rPr>
                <w:rFonts w:ascii="Times New Roman" w:hAnsi="Times New Roman"/>
              </w:rPr>
              <w:t>（4）有项目实施方案，但方案内容模糊，没有针对本项目主要工作内容制定，内容不详实、不完整、内容不全面的</w:t>
            </w:r>
            <w:r>
              <w:rPr>
                <w:rFonts w:hint="eastAsia" w:ascii="Times New Roman" w:hAnsi="Times New Roman"/>
              </w:rPr>
              <w:t>得</w:t>
            </w:r>
            <w:r>
              <w:rPr>
                <w:rFonts w:hint="eastAsia" w:ascii="Times New Roman" w:hAnsi="Times New Roman"/>
                <w:lang w:val="en-US" w:eastAsia="zh-CN"/>
              </w:rPr>
              <w:t>2</w:t>
            </w:r>
            <w:r>
              <w:rPr>
                <w:rFonts w:hint="eastAsia" w:ascii="Times New Roman" w:hAnsi="Times New Roman"/>
              </w:rPr>
              <w:t>分；</w:t>
            </w:r>
          </w:p>
          <w:p w14:paraId="10F89581">
            <w:pPr>
              <w:jc w:val="left"/>
              <w:rPr>
                <w:rFonts w:ascii="Times New Roman" w:hAnsi="Times New Roman"/>
              </w:rPr>
            </w:pPr>
            <w:r>
              <w:rPr>
                <w:rFonts w:hint="eastAsia" w:ascii="Times New Roman" w:hAnsi="Times New Roman"/>
              </w:rPr>
              <w:t>（</w:t>
            </w:r>
            <w:r>
              <w:rPr>
                <w:rFonts w:ascii="Times New Roman" w:hAnsi="Times New Roman"/>
              </w:rPr>
              <w:t>5</w:t>
            </w:r>
            <w:r>
              <w:rPr>
                <w:rFonts w:hint="eastAsia" w:ascii="Times New Roman" w:hAnsi="Times New Roman"/>
              </w:rPr>
              <w:t>）</w:t>
            </w:r>
            <w:r>
              <w:rPr>
                <w:rFonts w:ascii="Times New Roman" w:hAnsi="Times New Roman"/>
              </w:rPr>
              <w:t>没有内容的不得分</w:t>
            </w:r>
            <w:r>
              <w:rPr>
                <w:rFonts w:hint="eastAsia" w:ascii="Times New Roman" w:hAnsi="Times New Roman"/>
              </w:rPr>
              <w:t>。</w:t>
            </w:r>
          </w:p>
        </w:tc>
      </w:tr>
      <w:tr w14:paraId="19E4EAC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right w:val="single" w:color="auto" w:sz="6" w:space="0"/>
            </w:tcBorders>
            <w:noWrap w:val="0"/>
            <w:vAlign w:val="center"/>
          </w:tcPr>
          <w:p w14:paraId="2AFD17BA">
            <w:pPr>
              <w:jc w:val="left"/>
              <w:rPr>
                <w:rFonts w:ascii="Times New Roman" w:hAnsi="Times New Roman"/>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B8E46D7">
            <w:pPr>
              <w:jc w:val="left"/>
              <w:rPr>
                <w:rFonts w:ascii="宋体" w:hAnsi="宋体"/>
                <w:szCs w:val="21"/>
              </w:rPr>
            </w:pPr>
            <w:r>
              <w:rPr>
                <w:rFonts w:ascii="Times New Roman" w:hAnsi="Times New Roman"/>
                <w:szCs w:val="21"/>
              </w:rPr>
              <w:t>质量保障措施</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13BA4AF">
            <w:pPr>
              <w:jc w:val="left"/>
              <w:rPr>
                <w:rFonts w:ascii="Times New Roman" w:hAnsi="Times New Roman"/>
              </w:rPr>
            </w:pPr>
            <w:r>
              <w:rPr>
                <w:rFonts w:hint="eastAsia" w:ascii="Times New Roman" w:hAnsi="Times New Roman"/>
                <w:lang w:val="en-US" w:eastAsia="zh-CN"/>
              </w:rPr>
              <w:t>7</w:t>
            </w:r>
            <w:r>
              <w:rPr>
                <w:rFonts w:ascii="Times New Roman" w:hAnsi="Times New Roman"/>
              </w:rPr>
              <w:t>.00分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2F6EE750">
            <w:pPr>
              <w:jc w:val="left"/>
              <w:rPr>
                <w:rFonts w:ascii="Times New Roman" w:hAnsi="Times New Roman"/>
              </w:rPr>
            </w:pPr>
            <w:r>
              <w:rPr>
                <w:rFonts w:hint="eastAsia" w:ascii="Times New Roman" w:hAnsi="Times New Roman"/>
              </w:rPr>
              <w:t>根据项目需求分析，从供应商提供的质量、安全、保密等保障措施完整性、合理性；制定明确的成果资料保密措施和安全保障手段进行评审，编制 详细、可行的实施方案。</w:t>
            </w:r>
          </w:p>
          <w:p w14:paraId="6BC9E33F">
            <w:pPr>
              <w:jc w:val="left"/>
              <w:rPr>
                <w:rFonts w:ascii="Times New Roman" w:hAnsi="Times New Roman"/>
              </w:rPr>
            </w:pPr>
            <w:r>
              <w:rPr>
                <w:rFonts w:hint="eastAsia" w:ascii="Times New Roman" w:hAnsi="Times New Roman"/>
              </w:rPr>
              <w:t>（1）内容构思缜密、符合实际、完整详细，能够制定详细、具体方案，语言表述准确清晰，得</w:t>
            </w:r>
            <w:r>
              <w:rPr>
                <w:rFonts w:hint="eastAsia" w:ascii="Times New Roman" w:hAnsi="Times New Roman"/>
                <w:lang w:val="en-US" w:eastAsia="zh-CN"/>
              </w:rPr>
              <w:t>7</w:t>
            </w:r>
            <w:r>
              <w:rPr>
                <w:rFonts w:hint="eastAsia" w:ascii="Times New Roman" w:hAnsi="Times New Roman"/>
              </w:rPr>
              <w:t>分；</w:t>
            </w:r>
          </w:p>
          <w:p w14:paraId="2DE9D6A6">
            <w:pPr>
              <w:jc w:val="left"/>
              <w:rPr>
                <w:rFonts w:ascii="Times New Roman" w:hAnsi="Times New Roman"/>
              </w:rPr>
            </w:pPr>
            <w:r>
              <w:rPr>
                <w:rFonts w:hint="eastAsia" w:ascii="Times New Roman" w:hAnsi="Times New Roman"/>
              </w:rPr>
              <w:t>（2）内容解读具有比较可行性、合理性、能够基本满足本项目采购需求内容，为本项目制定较完善的工作方案，完整和实用的得</w:t>
            </w:r>
            <w:r>
              <w:rPr>
                <w:rFonts w:hint="eastAsia" w:ascii="Times New Roman" w:hAnsi="Times New Roman"/>
                <w:lang w:val="en-US" w:eastAsia="zh-CN"/>
              </w:rPr>
              <w:t>5</w:t>
            </w:r>
            <w:r>
              <w:rPr>
                <w:rFonts w:hint="eastAsia" w:ascii="Times New Roman" w:hAnsi="Times New Roman"/>
              </w:rPr>
              <w:t>分；</w:t>
            </w:r>
          </w:p>
          <w:p w14:paraId="5C67BD86">
            <w:pPr>
              <w:jc w:val="left"/>
              <w:rPr>
                <w:rFonts w:ascii="Times New Roman" w:hAnsi="Times New Roman"/>
              </w:rPr>
            </w:pPr>
            <w:r>
              <w:rPr>
                <w:rFonts w:hint="eastAsia" w:ascii="Times New Roman" w:hAnsi="Times New Roman"/>
              </w:rPr>
              <w:t>（</w:t>
            </w:r>
            <w:r>
              <w:rPr>
                <w:rFonts w:ascii="Times New Roman" w:hAnsi="Times New Roman"/>
              </w:rPr>
              <w:t>3</w:t>
            </w:r>
            <w:r>
              <w:rPr>
                <w:rFonts w:hint="eastAsia" w:ascii="Times New Roman" w:hAnsi="Times New Roman"/>
              </w:rPr>
              <w:t>）方案内容有一定偏差，但不影响实质性内容表达，较具有针对性和可操作性，得</w:t>
            </w:r>
            <w:r>
              <w:rPr>
                <w:rFonts w:hint="eastAsia" w:ascii="Times New Roman" w:hAnsi="Times New Roman"/>
                <w:lang w:val="en-US" w:eastAsia="zh-CN"/>
              </w:rPr>
              <w:t>3</w:t>
            </w:r>
            <w:r>
              <w:rPr>
                <w:rFonts w:hint="eastAsia" w:ascii="Times New Roman" w:hAnsi="Times New Roman"/>
              </w:rPr>
              <w:t>分；</w:t>
            </w:r>
          </w:p>
          <w:p w14:paraId="7D9E4F42">
            <w:pPr>
              <w:jc w:val="left"/>
              <w:rPr>
                <w:rFonts w:ascii="Times New Roman" w:hAnsi="Times New Roman"/>
              </w:rPr>
            </w:pPr>
            <w:r>
              <w:rPr>
                <w:rFonts w:hint="eastAsia" w:ascii="Times New Roman" w:hAnsi="Times New Roman"/>
              </w:rPr>
              <w:t>（</w:t>
            </w:r>
            <w:r>
              <w:rPr>
                <w:rFonts w:ascii="Times New Roman" w:hAnsi="Times New Roman"/>
              </w:rPr>
              <w:t>4</w:t>
            </w:r>
            <w:r>
              <w:rPr>
                <w:rFonts w:hint="eastAsia" w:ascii="Times New Roman" w:hAnsi="Times New Roman"/>
              </w:rPr>
              <w:t>）有项目实施方案，但方案内容模糊，没有针对本项目主要工作内容制定，内容不详实、 不完整、内容不全面的得1分；</w:t>
            </w:r>
          </w:p>
          <w:p w14:paraId="5A410B05">
            <w:pPr>
              <w:jc w:val="left"/>
              <w:rPr>
                <w:rFonts w:ascii="Times New Roman" w:hAnsi="Times New Roman"/>
              </w:rPr>
            </w:pPr>
            <w:r>
              <w:rPr>
                <w:rFonts w:hint="eastAsia" w:ascii="Times New Roman" w:hAnsi="Times New Roman"/>
              </w:rPr>
              <w:t>（</w:t>
            </w:r>
            <w:r>
              <w:rPr>
                <w:rFonts w:ascii="Times New Roman" w:hAnsi="Times New Roman"/>
              </w:rPr>
              <w:t>5</w:t>
            </w:r>
            <w:r>
              <w:rPr>
                <w:rFonts w:hint="eastAsia" w:ascii="Times New Roman" w:hAnsi="Times New Roman"/>
              </w:rPr>
              <w:t>）没有内容的不得分。</w:t>
            </w:r>
          </w:p>
        </w:tc>
      </w:tr>
      <w:tr w14:paraId="5FC59A7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bottom w:val="single" w:color="auto" w:sz="6" w:space="0"/>
              <w:right w:val="single" w:color="auto" w:sz="6" w:space="0"/>
            </w:tcBorders>
            <w:noWrap w:val="0"/>
            <w:vAlign w:val="center"/>
          </w:tcPr>
          <w:p w14:paraId="323E9A5F">
            <w:pPr>
              <w:jc w:val="left"/>
              <w:rPr>
                <w:rFonts w:ascii="Times New Roman" w:hAnsi="Times New Roman"/>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3A89E055">
            <w:pPr>
              <w:jc w:val="left"/>
              <w:rPr>
                <w:rFonts w:ascii="宋体" w:hAnsi="宋体"/>
                <w:szCs w:val="21"/>
              </w:rPr>
            </w:pPr>
            <w:r>
              <w:rPr>
                <w:rFonts w:ascii="Times New Roman" w:hAnsi="Times New Roman"/>
                <w:szCs w:val="21"/>
              </w:rPr>
              <w:t>售后服务保证措施</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CBF3049">
            <w:pPr>
              <w:jc w:val="left"/>
              <w:rPr>
                <w:rFonts w:ascii="Times New Roman" w:hAnsi="Times New Roman"/>
              </w:rPr>
            </w:pPr>
            <w:r>
              <w:rPr>
                <w:rFonts w:ascii="宋体" w:hAnsi="宋体"/>
                <w:szCs w:val="21"/>
              </w:rPr>
              <w:t>5</w:t>
            </w:r>
            <w:r>
              <w:rPr>
                <w:rFonts w:ascii="宋体" w:hAnsi="宋体"/>
                <w:szCs w:val="21"/>
                <w:lang w:val="zh-CN"/>
              </w:rPr>
              <w:t>.00分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B80D305">
            <w:pPr>
              <w:jc w:val="left"/>
              <w:rPr>
                <w:rFonts w:ascii="Times New Roman" w:hAnsi="Times New Roman"/>
              </w:rPr>
            </w:pPr>
            <w:r>
              <w:rPr>
                <w:rFonts w:hint="eastAsia" w:ascii="Times New Roman" w:hAnsi="Times New Roman"/>
              </w:rPr>
              <w:t>根据项目需求分析，从售后服务保证体系（问题预警、问题的投诉响应处理、问题的解决办法、重大问题应急预案），后续服务措施（人员配备培训、服务响应时间及维护能力），对完结后的项目持续跟踪和答疑、技术人员对项目成果的回访调查和完善等方面，编制详细、可行的实施方案。</w:t>
            </w:r>
          </w:p>
          <w:p w14:paraId="19FD77EE">
            <w:pPr>
              <w:jc w:val="left"/>
              <w:rPr>
                <w:rFonts w:ascii="Times New Roman" w:hAnsi="Times New Roman"/>
              </w:rPr>
            </w:pPr>
            <w:r>
              <w:rPr>
                <w:rFonts w:hint="eastAsia" w:ascii="Times New Roman" w:hAnsi="Times New Roman"/>
              </w:rPr>
              <w:t>（1）内容构思缜密、符合实际、完整详细，能够制定详细、具体方案，语言表述准确清晰，得5分；</w:t>
            </w:r>
          </w:p>
          <w:p w14:paraId="64BA2AB3">
            <w:pPr>
              <w:jc w:val="left"/>
              <w:rPr>
                <w:rFonts w:ascii="Times New Roman" w:hAnsi="Times New Roman"/>
              </w:rPr>
            </w:pPr>
            <w:r>
              <w:rPr>
                <w:rFonts w:hint="eastAsia" w:ascii="Times New Roman" w:hAnsi="Times New Roman"/>
              </w:rPr>
              <w:t>（2）内容解读具有比较可行性、合理性、能够基本满足本项目采购需求内容，为本项目制定较完善的工作方案，完 整和实用的得3分；</w:t>
            </w:r>
          </w:p>
          <w:p w14:paraId="03E1CC64">
            <w:pPr>
              <w:jc w:val="left"/>
              <w:rPr>
                <w:rFonts w:ascii="Times New Roman" w:hAnsi="Times New Roman"/>
              </w:rPr>
            </w:pPr>
            <w:r>
              <w:rPr>
                <w:rFonts w:hint="eastAsia" w:ascii="Times New Roman" w:hAnsi="Times New Roman"/>
              </w:rPr>
              <w:t>（</w:t>
            </w:r>
            <w:r>
              <w:rPr>
                <w:rFonts w:ascii="Times New Roman" w:hAnsi="Times New Roman"/>
              </w:rPr>
              <w:t>3</w:t>
            </w:r>
            <w:r>
              <w:rPr>
                <w:rFonts w:hint="eastAsia" w:ascii="Times New Roman" w:hAnsi="Times New Roman"/>
              </w:rPr>
              <w:t>）方案内容有一定偏差，但不影响实质性内容表达，较具有针对性和可操作性，得2分；</w:t>
            </w:r>
          </w:p>
          <w:p w14:paraId="57961580">
            <w:pPr>
              <w:jc w:val="left"/>
              <w:rPr>
                <w:rFonts w:ascii="Times New Roman" w:hAnsi="Times New Roman"/>
              </w:rPr>
            </w:pPr>
            <w:r>
              <w:rPr>
                <w:rFonts w:hint="eastAsia" w:ascii="Times New Roman" w:hAnsi="Times New Roman"/>
              </w:rPr>
              <w:t>（</w:t>
            </w:r>
            <w:r>
              <w:rPr>
                <w:rFonts w:ascii="Times New Roman" w:hAnsi="Times New Roman"/>
              </w:rPr>
              <w:t>4</w:t>
            </w:r>
            <w:r>
              <w:rPr>
                <w:rFonts w:hint="eastAsia" w:ascii="Times New Roman" w:hAnsi="Times New Roman"/>
              </w:rPr>
              <w:t>）有项目实施方案，但方案内容模糊，没有针对本 项目主要工作内容制定，内容不详实、不完整、内容不全面的得1分；</w:t>
            </w:r>
          </w:p>
          <w:p w14:paraId="46650E81">
            <w:pPr>
              <w:jc w:val="left"/>
              <w:rPr>
                <w:rFonts w:ascii="Times New Roman" w:hAnsi="Times New Roman"/>
              </w:rPr>
            </w:pPr>
            <w:r>
              <w:rPr>
                <w:rFonts w:hint="eastAsia" w:ascii="Times New Roman" w:hAnsi="Times New Roman"/>
              </w:rPr>
              <w:t>（</w:t>
            </w:r>
            <w:r>
              <w:rPr>
                <w:rFonts w:ascii="Times New Roman" w:hAnsi="Times New Roman"/>
              </w:rPr>
              <w:t>5</w:t>
            </w:r>
            <w:r>
              <w:rPr>
                <w:rFonts w:hint="eastAsia" w:ascii="Times New Roman" w:hAnsi="Times New Roman"/>
              </w:rPr>
              <w:t>）没有内容的不得分。</w:t>
            </w:r>
          </w:p>
        </w:tc>
      </w:tr>
      <w:tr w14:paraId="116D65C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auto" w:sz="6" w:space="0"/>
              <w:left w:val="single" w:color="auto" w:sz="6" w:space="0"/>
              <w:right w:val="single" w:color="auto" w:sz="6" w:space="0"/>
            </w:tcBorders>
            <w:noWrap w:val="0"/>
            <w:vAlign w:val="center"/>
          </w:tcPr>
          <w:p w14:paraId="59DC4993">
            <w:pPr>
              <w:jc w:val="left"/>
              <w:rPr>
                <w:rFonts w:ascii="Times New Roman" w:hAnsi="Times New Roman"/>
              </w:rPr>
            </w:pPr>
            <w:r>
              <w:rPr>
                <w:rFonts w:hint="eastAsia" w:ascii="Times New Roman" w:hAnsi="Times New Roman"/>
              </w:rPr>
              <w:t>项目组织机构人员配备</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8FAEDF7">
            <w:pPr>
              <w:jc w:val="left"/>
              <w:rPr>
                <w:rFonts w:ascii="Times New Roman" w:hAnsi="Times New Roman"/>
              </w:rPr>
            </w:pPr>
            <w:r>
              <w:rPr>
                <w:rFonts w:hint="eastAsia" w:ascii="Times New Roman" w:hAnsi="Times New Roman"/>
              </w:rPr>
              <w:t>项目负责人</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068ABAA">
            <w:pPr>
              <w:jc w:val="left"/>
              <w:rPr>
                <w:rFonts w:ascii="Times New Roman" w:hAnsi="Times New Roman"/>
              </w:rPr>
            </w:pPr>
            <w:r>
              <w:rPr>
                <w:rFonts w:ascii="Times New Roman" w:hAnsi="Times New Roman"/>
              </w:rPr>
              <w:t>5.00分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A29C1C8">
            <w:pPr>
              <w:jc w:val="left"/>
              <w:rPr>
                <w:rFonts w:ascii="Times New Roman" w:hAnsi="Times New Roman"/>
              </w:rPr>
            </w:pPr>
            <w:r>
              <w:rPr>
                <w:rFonts w:hint="eastAsia" w:ascii="Times New Roman" w:hAnsi="Times New Roman"/>
              </w:rPr>
              <w:t>拟派项目负责人具有地质类、土壤类</w:t>
            </w:r>
            <w:r>
              <w:rPr>
                <w:rFonts w:hint="eastAsia"/>
              </w:rPr>
              <w:t>、环境类、资源环境与遥感信息专业类</w:t>
            </w:r>
            <w:r>
              <w:rPr>
                <w:rFonts w:hint="eastAsia" w:ascii="Times New Roman" w:hAnsi="Times New Roman"/>
              </w:rPr>
              <w:t>等相关专业高级及以上职称得5分；具备以上专业中级职称的得3分；具备以上专业初级职称的得1分。</w:t>
            </w:r>
          </w:p>
          <w:p w14:paraId="3A22BD7F">
            <w:pPr>
              <w:jc w:val="left"/>
              <w:rPr>
                <w:rFonts w:ascii="Times New Roman" w:hAnsi="Times New Roman"/>
              </w:rPr>
            </w:pPr>
            <w:r>
              <w:rPr>
                <w:rFonts w:ascii="Times New Roman" w:hAnsi="Times New Roman"/>
                <w:szCs w:val="21"/>
              </w:rPr>
              <w:t>注：1、专业以职称证书或毕业证专业为准。2、须提供有效证书原件扫描件，否则不予计分。3、提供与项目负责人签订的劳动合同或聘用协议或提供202</w:t>
            </w:r>
            <w:r>
              <w:rPr>
                <w:rFonts w:hint="eastAsia" w:ascii="Times New Roman" w:hAnsi="Times New Roman"/>
                <w:szCs w:val="21"/>
              </w:rPr>
              <w:t>5</w:t>
            </w:r>
            <w:r>
              <w:rPr>
                <w:rFonts w:ascii="Times New Roman" w:hAnsi="Times New Roman"/>
                <w:szCs w:val="21"/>
              </w:rPr>
              <w:t>年</w:t>
            </w:r>
            <w:r>
              <w:rPr>
                <w:rFonts w:hint="eastAsia" w:ascii="Times New Roman" w:hAnsi="Times New Roman"/>
                <w:szCs w:val="21"/>
              </w:rPr>
              <w:t>10</w:t>
            </w:r>
            <w:r>
              <w:rPr>
                <w:rFonts w:ascii="Times New Roman" w:hAnsi="Times New Roman"/>
                <w:szCs w:val="21"/>
              </w:rPr>
              <w:t>月（含）以来</w:t>
            </w:r>
            <w:r>
              <w:rPr>
                <w:rFonts w:hint="eastAsia" w:ascii="Times New Roman" w:hAnsi="Times New Roman"/>
                <w:szCs w:val="21"/>
              </w:rPr>
              <w:t>任意一个月为其缴纳社会养老保险证明材料</w:t>
            </w:r>
            <w:r>
              <w:rPr>
                <w:rFonts w:ascii="Times New Roman" w:hAnsi="Times New Roman"/>
                <w:szCs w:val="21"/>
              </w:rPr>
              <w:t>，扫描件上传至投标文件中，如投标人提供虚假材料谋取中标的，中标无效，依法承担法律责任。相关证明材料需清晰完整便于辨认，未提供或无法辨认的不得分。4、</w:t>
            </w:r>
            <w:r>
              <w:rPr>
                <w:rFonts w:hint="eastAsia" w:ascii="Times New Roman" w:hAnsi="Times New Roman"/>
                <w:szCs w:val="21"/>
              </w:rPr>
              <w:t>成交</w:t>
            </w:r>
            <w:r>
              <w:rPr>
                <w:rFonts w:ascii="Times New Roman" w:hAnsi="Times New Roman"/>
                <w:szCs w:val="21"/>
              </w:rPr>
              <w:t>人提供的人员证书随</w:t>
            </w:r>
            <w:r>
              <w:rPr>
                <w:rFonts w:hint="eastAsia" w:ascii="Times New Roman" w:hAnsi="Times New Roman"/>
                <w:szCs w:val="21"/>
              </w:rPr>
              <w:t>成交</w:t>
            </w:r>
            <w:r>
              <w:rPr>
                <w:rFonts w:ascii="Times New Roman" w:hAnsi="Times New Roman"/>
                <w:szCs w:val="21"/>
              </w:rPr>
              <w:t>结果同步公告。</w:t>
            </w:r>
          </w:p>
        </w:tc>
      </w:tr>
      <w:tr w14:paraId="0D9EFEE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left w:val="single" w:color="auto" w:sz="6" w:space="0"/>
              <w:bottom w:val="single" w:color="auto" w:sz="6" w:space="0"/>
              <w:right w:val="single" w:color="auto" w:sz="6" w:space="0"/>
            </w:tcBorders>
            <w:noWrap w:val="0"/>
            <w:vAlign w:val="center"/>
          </w:tcPr>
          <w:p w14:paraId="08197A76">
            <w:pPr>
              <w:jc w:val="left"/>
              <w:rPr>
                <w:rFonts w:ascii="Times New Roman" w:hAnsi="Times New Roman"/>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0BF9760A">
            <w:pPr>
              <w:jc w:val="left"/>
              <w:rPr>
                <w:rFonts w:ascii="Times New Roman" w:hAnsi="Times New Roman"/>
              </w:rPr>
            </w:pPr>
            <w:r>
              <w:rPr>
                <w:rFonts w:hint="eastAsia" w:ascii="Times New Roman" w:hAnsi="Times New Roman"/>
              </w:rPr>
              <w:t>项目组人员配备</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34AA6B4">
            <w:pPr>
              <w:jc w:val="left"/>
              <w:rPr>
                <w:rFonts w:ascii="Times New Roman" w:hAnsi="Times New Roman"/>
              </w:rPr>
            </w:pPr>
            <w:r>
              <w:rPr>
                <w:rFonts w:ascii="Times New Roman" w:hAnsi="Times New Roman"/>
              </w:rPr>
              <w:t>20分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7F26951B">
            <w:pPr>
              <w:jc w:val="left"/>
              <w:rPr>
                <w:rFonts w:ascii="Times New Roman" w:hAnsi="Times New Roman"/>
              </w:rPr>
            </w:pPr>
            <w:r>
              <w:rPr>
                <w:rFonts w:hint="eastAsia" w:ascii="Times New Roman" w:hAnsi="Times New Roman"/>
              </w:rPr>
              <w:t>1、本项目拟派技术负责人：具有地质类、土壤类、环境类、</w:t>
            </w:r>
            <w:r>
              <w:rPr>
                <w:rFonts w:hint="eastAsia"/>
              </w:rPr>
              <w:t>资源环境与遥感信息专业类</w:t>
            </w:r>
            <w:r>
              <w:rPr>
                <w:rFonts w:hint="eastAsia" w:ascii="Times New Roman" w:hAnsi="Times New Roman"/>
              </w:rPr>
              <w:t>等相关专业高级及以上职称得5分；具备以上专业中级职称的得3分；具备以上专业初级职称的得1分。</w:t>
            </w:r>
          </w:p>
          <w:p w14:paraId="07D37767">
            <w:pPr>
              <w:jc w:val="left"/>
              <w:rPr>
                <w:rFonts w:ascii="Times New Roman" w:hAnsi="Times New Roman"/>
              </w:rPr>
            </w:pPr>
            <w:r>
              <w:rPr>
                <w:rFonts w:ascii="Times New Roman" w:hAnsi="Times New Roman"/>
                <w:szCs w:val="21"/>
              </w:rPr>
              <w:t>注：1、专业以职称证书或毕业证专业为准。2、须提供有效证书原件扫描件，否则不予计分。3、提供与</w:t>
            </w:r>
            <w:r>
              <w:rPr>
                <w:rFonts w:hint="eastAsia" w:ascii="Times New Roman" w:hAnsi="Times New Roman"/>
                <w:szCs w:val="21"/>
              </w:rPr>
              <w:t>技术</w:t>
            </w:r>
            <w:r>
              <w:rPr>
                <w:rFonts w:ascii="Times New Roman" w:hAnsi="Times New Roman"/>
                <w:szCs w:val="21"/>
              </w:rPr>
              <w:t>负责人签订的劳动合同或聘用协议或提供202</w:t>
            </w:r>
            <w:r>
              <w:rPr>
                <w:rFonts w:hint="eastAsia" w:ascii="Times New Roman" w:hAnsi="Times New Roman"/>
                <w:szCs w:val="21"/>
              </w:rPr>
              <w:t>5</w:t>
            </w:r>
            <w:r>
              <w:rPr>
                <w:rFonts w:ascii="Times New Roman" w:hAnsi="Times New Roman"/>
                <w:szCs w:val="21"/>
              </w:rPr>
              <w:t>年1</w:t>
            </w:r>
            <w:r>
              <w:rPr>
                <w:rFonts w:hint="eastAsia" w:ascii="Times New Roman" w:hAnsi="Times New Roman"/>
                <w:szCs w:val="21"/>
              </w:rPr>
              <w:t>0</w:t>
            </w:r>
            <w:r>
              <w:rPr>
                <w:rFonts w:ascii="Times New Roman" w:hAnsi="Times New Roman"/>
                <w:szCs w:val="21"/>
              </w:rPr>
              <w:t>月（含）以来</w:t>
            </w:r>
            <w:r>
              <w:rPr>
                <w:rFonts w:hint="eastAsia" w:ascii="Times New Roman" w:hAnsi="Times New Roman"/>
                <w:szCs w:val="21"/>
              </w:rPr>
              <w:t>任意一个月为其缴纳社会养老保险证明材料</w:t>
            </w:r>
            <w:r>
              <w:rPr>
                <w:rFonts w:ascii="Times New Roman" w:hAnsi="Times New Roman"/>
                <w:szCs w:val="21"/>
              </w:rPr>
              <w:t>，扫描件上传至投标文件中，如投标人提供虚假材料谋取中标的，中标无效，依法承担法律责任。相关证明材料需清晰完整便于辨认，未提供或无法辨认的不得分。4、</w:t>
            </w:r>
            <w:r>
              <w:rPr>
                <w:rFonts w:hint="eastAsia" w:ascii="Times New Roman" w:hAnsi="Times New Roman"/>
                <w:szCs w:val="21"/>
              </w:rPr>
              <w:t>成交</w:t>
            </w:r>
            <w:r>
              <w:rPr>
                <w:rFonts w:ascii="Times New Roman" w:hAnsi="Times New Roman"/>
                <w:szCs w:val="21"/>
              </w:rPr>
              <w:t>人提供的人员证书随</w:t>
            </w:r>
            <w:r>
              <w:rPr>
                <w:rFonts w:hint="eastAsia" w:ascii="Times New Roman" w:hAnsi="Times New Roman"/>
                <w:szCs w:val="21"/>
              </w:rPr>
              <w:t>成交</w:t>
            </w:r>
            <w:r>
              <w:rPr>
                <w:rFonts w:ascii="Times New Roman" w:hAnsi="Times New Roman"/>
                <w:szCs w:val="21"/>
              </w:rPr>
              <w:t>结果同步公告。</w:t>
            </w:r>
          </w:p>
          <w:p w14:paraId="5AC2E2FF">
            <w:pPr>
              <w:jc w:val="left"/>
              <w:rPr>
                <w:rFonts w:ascii="Times New Roman" w:hAnsi="Times New Roman"/>
              </w:rPr>
            </w:pPr>
            <w:r>
              <w:rPr>
                <w:rFonts w:hint="eastAsia" w:ascii="Times New Roman" w:hAnsi="Times New Roman"/>
              </w:rPr>
              <w:t>2、拟投入项目组成员（不包含项目负责人及技术负责人）其中每有一人具有</w:t>
            </w:r>
            <w:r>
              <w:rPr>
                <w:rFonts w:hint="eastAsia"/>
              </w:rPr>
              <w:t>农业资源与环境、资源环境与遥感信息、土地资源管理、生态学、农学、测绘类、环境类、土壤类、地质类、化学</w:t>
            </w:r>
            <w:r>
              <w:rPr>
                <w:rFonts w:hint="eastAsia"/>
                <w:b/>
                <w:bCs/>
              </w:rPr>
              <w:t>或</w:t>
            </w:r>
            <w:r>
              <w:rPr>
                <w:rFonts w:hint="eastAsia"/>
              </w:rPr>
              <w:t>化工类等专业本科及以上学历（或中级及以上职称）</w:t>
            </w:r>
            <w:r>
              <w:rPr>
                <w:rFonts w:hint="eastAsia" w:ascii="Times New Roman" w:hAnsi="Times New Roman"/>
              </w:rPr>
              <w:t>的，得1分/人，同一人员只计分1次；本项最高得15分。</w:t>
            </w:r>
          </w:p>
          <w:p w14:paraId="6E7B1BF4">
            <w:pPr>
              <w:jc w:val="left"/>
              <w:rPr>
                <w:rFonts w:ascii="Times New Roman" w:hAnsi="Times New Roman"/>
                <w:szCs w:val="21"/>
              </w:rPr>
            </w:pPr>
            <w:r>
              <w:rPr>
                <w:rFonts w:ascii="Times New Roman" w:hAnsi="Times New Roman"/>
                <w:szCs w:val="21"/>
              </w:rPr>
              <w:t>注：（1）提供以上拟派人员详细</w:t>
            </w:r>
            <w:r>
              <w:rPr>
                <w:rFonts w:hint="eastAsia" w:ascii="Times New Roman" w:hAnsi="Times New Roman"/>
                <w:szCs w:val="21"/>
              </w:rPr>
              <w:t>名单</w:t>
            </w:r>
            <w:r>
              <w:rPr>
                <w:rFonts w:ascii="Times New Roman" w:hAnsi="Times New Roman"/>
                <w:szCs w:val="21"/>
              </w:rPr>
              <w:t>及证书索引表以便于评委查询。（2）拟派人员须为本单位正式职工，投标时提供双方签订的劳动合同或提供为其缴纳的202</w:t>
            </w:r>
            <w:r>
              <w:rPr>
                <w:rFonts w:hint="eastAsia" w:ascii="Times New Roman" w:hAnsi="Times New Roman"/>
                <w:szCs w:val="21"/>
              </w:rPr>
              <w:t>5</w:t>
            </w:r>
            <w:r>
              <w:rPr>
                <w:rFonts w:ascii="Times New Roman" w:hAnsi="Times New Roman"/>
                <w:szCs w:val="21"/>
              </w:rPr>
              <w:t>年1</w:t>
            </w:r>
            <w:r>
              <w:rPr>
                <w:rFonts w:hint="eastAsia" w:ascii="Times New Roman" w:hAnsi="Times New Roman"/>
                <w:szCs w:val="21"/>
              </w:rPr>
              <w:t>0</w:t>
            </w:r>
            <w:r>
              <w:rPr>
                <w:rFonts w:ascii="Times New Roman" w:hAnsi="Times New Roman"/>
                <w:szCs w:val="21"/>
              </w:rPr>
              <w:t>月（含）以来任意一个月的养老保险</w:t>
            </w:r>
            <w:r>
              <w:rPr>
                <w:rFonts w:hint="eastAsia" w:ascii="Times New Roman" w:hAnsi="Times New Roman"/>
                <w:szCs w:val="21"/>
              </w:rPr>
              <w:t>缴费</w:t>
            </w:r>
            <w:r>
              <w:rPr>
                <w:rFonts w:ascii="Times New Roman" w:hAnsi="Times New Roman"/>
                <w:szCs w:val="21"/>
              </w:rPr>
              <w:t>证明材料</w:t>
            </w:r>
            <w:r>
              <w:rPr>
                <w:rFonts w:hint="eastAsia" w:ascii="Times New Roman" w:hAnsi="Times New Roman"/>
                <w:szCs w:val="21"/>
              </w:rPr>
              <w:t>，</w:t>
            </w:r>
            <w:r>
              <w:rPr>
                <w:rFonts w:ascii="Times New Roman" w:hAnsi="Times New Roman"/>
                <w:szCs w:val="21"/>
              </w:rPr>
              <w:t>投标截止日前成立不足6个月的新办企业提供成立以来任意一个月的养老保险缴纳证明。</w:t>
            </w:r>
            <w:r>
              <w:rPr>
                <w:rFonts w:hint="eastAsia" w:ascii="Times New Roman" w:hAnsi="Times New Roman"/>
                <w:szCs w:val="21"/>
              </w:rPr>
              <w:t>相关</w:t>
            </w:r>
            <w:r>
              <w:rPr>
                <w:rFonts w:ascii="Times New Roman" w:hAnsi="Times New Roman"/>
                <w:szCs w:val="21"/>
              </w:rPr>
              <w:t>证明材料需清晰可见，未提供或无法辨认的不得分。（3）专业以职称证书或毕业证专业为准</w:t>
            </w:r>
            <w:r>
              <w:rPr>
                <w:rFonts w:hint="eastAsia" w:ascii="Times New Roman" w:hAnsi="Times New Roman"/>
                <w:szCs w:val="21"/>
              </w:rPr>
              <w:t>，</w:t>
            </w:r>
            <w:r>
              <w:rPr>
                <w:rFonts w:ascii="Times New Roman" w:hAnsi="Times New Roman"/>
                <w:szCs w:val="21"/>
              </w:rPr>
              <w:t>须提供有效证书原件扫描件，否则不予计分。</w:t>
            </w:r>
            <w:r>
              <w:rPr>
                <w:rFonts w:hint="eastAsia" w:ascii="Times New Roman" w:hAnsi="Times New Roman"/>
                <w:szCs w:val="21"/>
              </w:rPr>
              <w:t>（4）</w:t>
            </w:r>
            <w:r>
              <w:rPr>
                <w:rFonts w:ascii="Times New Roman" w:hAnsi="Times New Roman"/>
                <w:szCs w:val="21"/>
              </w:rPr>
              <w:t>成交人上述资料将随成交结果同步公开</w:t>
            </w:r>
            <w:r>
              <w:rPr>
                <w:rFonts w:hint="eastAsia" w:ascii="Times New Roman" w:hAnsi="Times New Roman"/>
                <w:szCs w:val="21"/>
              </w:rPr>
              <w:t>。</w:t>
            </w:r>
          </w:p>
        </w:tc>
      </w:tr>
    </w:tbl>
    <w:p w14:paraId="05E0EC4D">
      <w:pPr>
        <w:spacing w:line="560" w:lineRule="exact"/>
        <w:rPr>
          <w:rFonts w:ascii="Times New Roman" w:hAnsi="Times New Roman"/>
          <w:b/>
          <w:sz w:val="24"/>
          <w:szCs w:val="24"/>
        </w:rPr>
      </w:pPr>
      <w:r>
        <w:rPr>
          <w:rFonts w:ascii="Times New Roman" w:hAnsi="Times New Roman"/>
          <w:b/>
          <w:sz w:val="24"/>
        </w:rPr>
        <w:t>（三）评标结果。</w:t>
      </w:r>
      <w:r>
        <w:rPr>
          <w:rFonts w:ascii="Times New Roman" w:hAnsi="Times New Roman"/>
          <w:sz w:val="24"/>
        </w:rPr>
        <w:t>磋商小组按照本办法规定推荐成交候选人，并形成评标报告。</w:t>
      </w:r>
    </w:p>
    <w:p w14:paraId="369C5F40">
      <w:pPr>
        <w:spacing w:line="560" w:lineRule="exact"/>
        <w:rPr>
          <w:rFonts w:ascii="Times New Roman" w:hAnsi="Times New Roman"/>
          <w:b/>
          <w:sz w:val="24"/>
        </w:rPr>
      </w:pPr>
      <w:r>
        <w:rPr>
          <w:rFonts w:ascii="Times New Roman" w:hAnsi="Times New Roman"/>
          <w:b/>
          <w:sz w:val="24"/>
        </w:rPr>
        <w:t>（四）政府采购政策功能落实</w:t>
      </w:r>
    </w:p>
    <w:p w14:paraId="7F5E556A">
      <w:pPr>
        <w:spacing w:line="440" w:lineRule="exact"/>
        <w:ind w:firstLine="241"/>
        <w:rPr>
          <w:rFonts w:ascii="Times New Roman" w:hAnsi="Times New Roman"/>
          <w:b/>
          <w:sz w:val="24"/>
        </w:rPr>
      </w:pPr>
      <w:r>
        <w:rPr>
          <w:rFonts w:ascii="Times New Roman" w:hAnsi="Times New Roman"/>
          <w:b/>
          <w:bCs/>
          <w:sz w:val="24"/>
        </w:rPr>
        <w:t>本项目落实的政府采购政策对应以下序号为</w:t>
      </w:r>
      <w:r>
        <w:rPr>
          <w:rFonts w:ascii="Times New Roman" w:hAnsi="Times New Roman"/>
          <w:b/>
          <w:bCs/>
          <w:sz w:val="24"/>
          <w:u w:val="single"/>
        </w:rPr>
        <w:t xml:space="preserve"> 4.1、4.2</w:t>
      </w:r>
    </w:p>
    <w:p w14:paraId="61CF9FEF">
      <w:pPr>
        <w:spacing w:line="440" w:lineRule="exact"/>
        <w:ind w:firstLine="480"/>
        <w:rPr>
          <w:rFonts w:ascii="Times New Roman" w:hAnsi="Times New Roman"/>
          <w:sz w:val="24"/>
        </w:rPr>
      </w:pPr>
      <w:r>
        <w:rPr>
          <w:rFonts w:ascii="Times New Roman" w:hAnsi="Times New Roman"/>
          <w:sz w:val="24"/>
        </w:rPr>
        <w:t>4.1采购本国货物、工程和服务</w:t>
      </w:r>
    </w:p>
    <w:p w14:paraId="3ED02410">
      <w:pPr>
        <w:spacing w:line="440" w:lineRule="exact"/>
        <w:ind w:firstLine="482"/>
        <w:rPr>
          <w:rFonts w:ascii="Times New Roman" w:hAnsi="Times New Roman"/>
          <w:sz w:val="24"/>
        </w:rPr>
      </w:pPr>
      <w:r>
        <w:rPr>
          <w:rFonts w:ascii="Times New Roman" w:hAnsi="Times New Roman"/>
          <w:sz w:val="24"/>
        </w:rPr>
        <w:t>政府采购应当采购本国货物、工程和服务，但有《中华人民共和国政府采购法》第十条规定情形的除外。</w:t>
      </w:r>
    </w:p>
    <w:p w14:paraId="00F141F1">
      <w:pPr>
        <w:spacing w:line="440" w:lineRule="exact"/>
        <w:ind w:firstLine="482"/>
        <w:rPr>
          <w:rFonts w:ascii="Times New Roman" w:hAnsi="Times New Roman"/>
          <w:sz w:val="24"/>
        </w:rPr>
      </w:pPr>
      <w:r>
        <w:rPr>
          <w:rFonts w:ascii="Times New Roman" w:hAnsi="Times New Roman"/>
          <w:sz w:val="24"/>
        </w:rPr>
        <w:t>如采购进口产品的，应当符合《政府采购进口产品管理办法》（财库〔2007〕119号文）、《关于政府采购进口产品管理有关问题的通知》（财办库〔2008〕248号文）等相关规定。</w:t>
      </w:r>
    </w:p>
    <w:p w14:paraId="264B82F2">
      <w:pPr>
        <w:spacing w:line="440" w:lineRule="exact"/>
        <w:ind w:firstLine="200"/>
        <w:rPr>
          <w:rFonts w:ascii="Times New Roman" w:hAnsi="Times New Roman"/>
          <w:sz w:val="24"/>
        </w:rPr>
      </w:pPr>
      <w:r>
        <w:rPr>
          <w:rFonts w:ascii="Times New Roman" w:hAnsi="Times New Roman"/>
          <w:sz w:val="24"/>
        </w:rPr>
        <w:t>4.2中小企业政策</w:t>
      </w:r>
    </w:p>
    <w:p w14:paraId="7413475D">
      <w:pPr>
        <w:spacing w:line="440" w:lineRule="exact"/>
        <w:ind w:firstLine="200"/>
        <w:rPr>
          <w:rFonts w:ascii="Times New Roman" w:hAnsi="Times New Roman"/>
          <w:sz w:val="24"/>
        </w:rPr>
      </w:pPr>
      <w:r>
        <w:rPr>
          <w:rFonts w:ascii="Times New Roman" w:hAnsi="Times New Roman"/>
          <w:sz w:val="24"/>
        </w:rPr>
        <w:t>本项目按以下第</w:t>
      </w:r>
      <w:r>
        <w:rPr>
          <w:rFonts w:ascii="Times New Roman" w:hAnsi="Times New Roman"/>
          <w:b/>
          <w:bCs/>
          <w:sz w:val="24"/>
          <w:u w:val="single"/>
        </w:rPr>
        <w:t xml:space="preserve">（1） </w:t>
      </w:r>
      <w:r>
        <w:rPr>
          <w:rFonts w:ascii="Times New Roman" w:hAnsi="Times New Roman"/>
          <w:sz w:val="24"/>
        </w:rPr>
        <w:t>种政策确定本项目落实的中小企业政策：</w:t>
      </w:r>
    </w:p>
    <w:p w14:paraId="0B0C96F2">
      <w:pPr>
        <w:spacing w:line="440" w:lineRule="exact"/>
        <w:ind w:firstLine="482"/>
        <w:rPr>
          <w:rFonts w:ascii="Times New Roman" w:hAnsi="Times New Roman"/>
          <w:sz w:val="24"/>
        </w:rPr>
      </w:pPr>
      <w:r>
        <w:rPr>
          <w:rFonts w:ascii="Times New Roman" w:hAnsi="Times New Roman"/>
          <w:sz w:val="24"/>
        </w:rPr>
        <w:t>（1）本项目专门面向中小企业（含监狱企业、残疾人福利企业）采购。</w:t>
      </w:r>
    </w:p>
    <w:p w14:paraId="7B326B2F">
      <w:pPr>
        <w:spacing w:line="440" w:lineRule="exact"/>
        <w:ind w:firstLine="482"/>
        <w:rPr>
          <w:rFonts w:ascii="Times New Roman" w:hAnsi="Times New Roman"/>
          <w:sz w:val="24"/>
        </w:rPr>
      </w:pPr>
      <w:r>
        <w:rPr>
          <w:rFonts w:ascii="Times New Roman" w:hAnsi="Times New Roman"/>
          <w:sz w:val="24"/>
        </w:rPr>
        <w:t>（2）投标人提供的货物、工程或者服务符合下列情形的，对小微企业报价给予</w:t>
      </w:r>
      <w:r>
        <w:rPr>
          <w:rFonts w:ascii="Times New Roman" w:hAnsi="Times New Roman"/>
          <w:sz w:val="24"/>
          <w:u w:val="single"/>
        </w:rPr>
        <w:t xml:space="preserve"> 10 </w:t>
      </w:r>
      <w:r>
        <w:rPr>
          <w:rFonts w:ascii="Times New Roman" w:hAnsi="Times New Roman"/>
          <w:sz w:val="24"/>
        </w:rPr>
        <w:t>%（工程项目为</w:t>
      </w:r>
      <w:r>
        <w:rPr>
          <w:rFonts w:ascii="Times New Roman" w:hAnsi="Times New Roman"/>
          <w:sz w:val="24"/>
          <w:u w:val="single"/>
        </w:rPr>
        <w:t xml:space="preserve">5 </w:t>
      </w:r>
      <w:r>
        <w:rPr>
          <w:rFonts w:ascii="Times New Roman" w:hAnsi="Times New Roman"/>
          <w:sz w:val="24"/>
        </w:rPr>
        <w:t xml:space="preserve">%）的扣除，用扣除后的价格参加评审。 </w:t>
      </w:r>
    </w:p>
    <w:p w14:paraId="3418D5CB">
      <w:pPr>
        <w:spacing w:line="440" w:lineRule="exact"/>
        <w:ind w:firstLine="482"/>
        <w:rPr>
          <w:rFonts w:ascii="Times New Roman" w:hAnsi="Times New Roman"/>
          <w:sz w:val="24"/>
        </w:rPr>
      </w:pPr>
      <w:r>
        <w:rPr>
          <w:rFonts w:ascii="Times New Roman" w:hAnsi="Times New Roman"/>
          <w:sz w:val="24"/>
        </w:rPr>
        <w:t>（一）在货物采购项目中，货物由中小企业制造，即货物由中小企业生产且使用该中小企业商号或者注册商标；</w:t>
      </w:r>
    </w:p>
    <w:p w14:paraId="1D7A6117">
      <w:pPr>
        <w:spacing w:line="440" w:lineRule="exact"/>
        <w:ind w:firstLine="482"/>
        <w:rPr>
          <w:rFonts w:ascii="Times New Roman" w:hAnsi="Times New Roman"/>
          <w:sz w:val="24"/>
        </w:rPr>
      </w:pPr>
      <w:r>
        <w:rPr>
          <w:rFonts w:ascii="Times New Roman" w:hAnsi="Times New Roman"/>
          <w:sz w:val="24"/>
        </w:rPr>
        <w:t>（二）在工程采购项目中，工程由中小企业承建，即工程施工单位为中小企业；</w:t>
      </w:r>
    </w:p>
    <w:p w14:paraId="3801E657">
      <w:pPr>
        <w:spacing w:line="440" w:lineRule="exact"/>
        <w:ind w:firstLine="482"/>
        <w:rPr>
          <w:rFonts w:ascii="Times New Roman" w:hAnsi="Times New Roman"/>
          <w:sz w:val="24"/>
        </w:rPr>
      </w:pPr>
      <w:r>
        <w:rPr>
          <w:rFonts w:ascii="Times New Roman" w:hAnsi="Times New Roman"/>
          <w:sz w:val="24"/>
        </w:rPr>
        <w:t>（三）在服务采购项目中，服务由中小企业承接，即提供服务的人员为中小企业依照《中华人民共和国民法典》订立劳动合同的从业人员。</w:t>
      </w:r>
    </w:p>
    <w:p w14:paraId="5FF79392">
      <w:pPr>
        <w:spacing w:line="440" w:lineRule="exact"/>
        <w:ind w:firstLine="482"/>
        <w:rPr>
          <w:rFonts w:ascii="Times New Roman" w:hAnsi="Times New Roman"/>
          <w:sz w:val="24"/>
        </w:rPr>
      </w:pPr>
      <w:r>
        <w:rPr>
          <w:rFonts w:ascii="Times New Roman" w:hAnsi="Times New Roman"/>
          <w:sz w:val="24"/>
        </w:rPr>
        <w:t>注：</w:t>
      </w:r>
      <w:r>
        <w:rPr>
          <w:rFonts w:ascii="Times New Roman" w:hAnsi="宋体"/>
          <w:sz w:val="24"/>
        </w:rPr>
        <w:t>①</w:t>
      </w:r>
      <w:r>
        <w:rPr>
          <w:rFonts w:ascii="Times New Roman" w:hAnsi="Times New Roman"/>
          <w:sz w:val="24"/>
        </w:rPr>
        <w:t>参加投标的中小企业，应当按照《政府采购促进中小企业发展管理办法》（财库〔2020〕46号）规定，出具《中小企业声明函》，中小企业划型依据《关于印发中小企业划型标准规定的通知》（工信部联企业〔2011〕300 号）。</w:t>
      </w:r>
    </w:p>
    <w:p w14:paraId="3592B35B">
      <w:pPr>
        <w:spacing w:line="440" w:lineRule="exact"/>
        <w:ind w:firstLine="482"/>
        <w:rPr>
          <w:rFonts w:ascii="Times New Roman" w:hAnsi="Times New Roman"/>
          <w:sz w:val="24"/>
        </w:rPr>
      </w:pPr>
      <w:r>
        <w:rPr>
          <w:rFonts w:ascii="Times New Roman" w:hAnsi="宋体"/>
          <w:sz w:val="24"/>
        </w:rPr>
        <w:t>②</w:t>
      </w:r>
      <w:r>
        <w:rPr>
          <w:rFonts w:ascii="Times New Roman" w:hAnsi="Times New Roman"/>
          <w:sz w:val="24"/>
        </w:rPr>
        <w:t>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2464E924">
      <w:pPr>
        <w:spacing w:line="440" w:lineRule="exact"/>
        <w:ind w:firstLine="482"/>
        <w:rPr>
          <w:rFonts w:ascii="Times New Roman" w:hAnsi="Times New Roman"/>
          <w:sz w:val="24"/>
        </w:rPr>
      </w:pPr>
      <w:r>
        <w:rPr>
          <w:rFonts w:ascii="Times New Roman" w:hAnsi="宋体"/>
          <w:sz w:val="24"/>
        </w:rPr>
        <w:t>③</w:t>
      </w:r>
      <w:r>
        <w:rPr>
          <w:rFonts w:ascii="Times New Roman" w:hAnsi="Times New Roman"/>
          <w:sz w:val="24"/>
        </w:rPr>
        <w:t>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D735686">
      <w:pPr>
        <w:spacing w:line="440" w:lineRule="exact"/>
        <w:ind w:firstLine="482"/>
        <w:rPr>
          <w:rFonts w:ascii="Times New Roman" w:hAnsi="Times New Roman"/>
          <w:sz w:val="24"/>
        </w:rPr>
      </w:pPr>
      <w:r>
        <w:rPr>
          <w:rFonts w:ascii="Times New Roman" w:hAnsi="宋体"/>
          <w:sz w:val="24"/>
        </w:rPr>
        <w:t>④</w:t>
      </w:r>
      <w:r>
        <w:rPr>
          <w:rFonts w:ascii="Times New Roman" w:hAnsi="Times New Roman"/>
          <w:sz w:val="24"/>
        </w:rPr>
        <w:t>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p>
    <w:p w14:paraId="0A156CD8">
      <w:pPr>
        <w:spacing w:line="440" w:lineRule="exact"/>
        <w:ind w:firstLine="482"/>
        <w:rPr>
          <w:rFonts w:ascii="Times New Roman" w:hAnsi="Times New Roman"/>
          <w:sz w:val="24"/>
        </w:rPr>
      </w:pPr>
      <w:r>
        <w:rPr>
          <w:rFonts w:ascii="Times New Roman" w:hAnsi="Times New Roman"/>
          <w:sz w:val="24"/>
        </w:rPr>
        <w:t>4.3政府采购节能产品、环境标志产品</w:t>
      </w:r>
    </w:p>
    <w:p w14:paraId="47AC54B7">
      <w:pPr>
        <w:spacing w:line="440" w:lineRule="exact"/>
        <w:ind w:firstLine="482"/>
        <w:rPr>
          <w:rFonts w:ascii="Times New Roman" w:hAnsi="Times New Roman"/>
          <w:sz w:val="24"/>
        </w:rPr>
      </w:pPr>
      <w:r>
        <w:rPr>
          <w:rFonts w:ascii="Times New Roman" w:hAnsi="Times New Roman"/>
          <w:sz w:val="24"/>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7BA9D596">
      <w:pPr>
        <w:spacing w:line="440" w:lineRule="exact"/>
        <w:ind w:firstLine="482"/>
        <w:rPr>
          <w:rFonts w:ascii="Times New Roman" w:hAnsi="Times New Roman"/>
          <w:sz w:val="24"/>
        </w:rPr>
      </w:pPr>
      <w:r>
        <w:rPr>
          <w:rFonts w:ascii="Times New Roman" w:hAnsi="Times New Roman"/>
          <w:sz w:val="24"/>
        </w:rPr>
        <w:t>（2）采购人拟采购的产品属于政府强制采购的节能产品品目清单范围的，投标人须提供国家确定的认证机构出具的、处于有效期之内的节能产品认证证书的，否则无效标处理。</w:t>
      </w:r>
    </w:p>
    <w:p w14:paraId="4A2993C9">
      <w:pPr>
        <w:spacing w:line="440" w:lineRule="exact"/>
        <w:ind w:firstLine="482"/>
        <w:rPr>
          <w:rFonts w:ascii="Times New Roman" w:hAnsi="Times New Roman"/>
          <w:sz w:val="24"/>
        </w:rPr>
      </w:pPr>
      <w:r>
        <w:rPr>
          <w:rFonts w:ascii="Times New Roman" w:hAnsi="Times New Roman"/>
          <w:sz w:val="24"/>
        </w:rPr>
        <w:t>（3）采购人拟采购的产品属于优先采购的节能环保品目清单范围的，按以下条件优先采购：</w:t>
      </w:r>
    </w:p>
    <w:p w14:paraId="52C63B96">
      <w:pPr>
        <w:spacing w:line="440" w:lineRule="exact"/>
        <w:ind w:firstLine="482"/>
        <w:rPr>
          <w:rFonts w:ascii="Times New Roman" w:hAnsi="Times New Roman"/>
          <w:sz w:val="24"/>
        </w:rPr>
      </w:pPr>
      <w:r>
        <w:rPr>
          <w:rFonts w:ascii="Times New Roman" w:hAnsi="Times New Roman"/>
          <w:sz w:val="24"/>
        </w:rPr>
        <w:t>采用综合评分法的项目，对提供有效节能环保证书的投标人加分。</w:t>
      </w:r>
    </w:p>
    <w:p w14:paraId="67B1A0A2">
      <w:pPr>
        <w:spacing w:line="440" w:lineRule="exact"/>
        <w:ind w:firstLine="482"/>
        <w:rPr>
          <w:rFonts w:ascii="Times New Roman" w:hAnsi="Times New Roman"/>
          <w:sz w:val="24"/>
        </w:rPr>
      </w:pPr>
      <w:r>
        <w:rPr>
          <w:rFonts w:ascii="Times New Roman" w:hAnsi="Times New Roman"/>
          <w:sz w:val="24"/>
        </w:rPr>
        <w:t>4.4商品包装、快递包装政府采购需求标准（试行）</w:t>
      </w:r>
    </w:p>
    <w:p w14:paraId="5BD8A6B0">
      <w:pPr>
        <w:spacing w:line="440" w:lineRule="exact"/>
        <w:ind w:firstLine="480"/>
        <w:rPr>
          <w:rFonts w:ascii="Times New Roman" w:hAnsi="Times New Roman" w:cs="仿宋_GB2312"/>
          <w:sz w:val="24"/>
        </w:rPr>
      </w:pPr>
      <w:r>
        <w:rPr>
          <w:rFonts w:hint="eastAsia" w:ascii="Times New Roman" w:hAnsi="Times New Roman" w:cs="仿宋_GB2312"/>
          <w:sz w:val="24"/>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5D65DABB">
      <w:pPr>
        <w:spacing w:line="440" w:lineRule="exact"/>
        <w:ind w:firstLine="482"/>
        <w:rPr>
          <w:rFonts w:ascii="Times New Roman" w:hAnsi="Times New Roman"/>
          <w:sz w:val="24"/>
        </w:rPr>
      </w:pPr>
      <w:r>
        <w:rPr>
          <w:rFonts w:ascii="Times New Roman" w:hAnsi="Times New Roman"/>
          <w:sz w:val="24"/>
        </w:rPr>
        <w:t>4.5绿色数据中心政府采购需求标准（试行）</w:t>
      </w:r>
    </w:p>
    <w:p w14:paraId="1B32174A">
      <w:pPr>
        <w:spacing w:line="440" w:lineRule="exact"/>
        <w:ind w:firstLine="480"/>
        <w:jc w:val="left"/>
        <w:rPr>
          <w:rFonts w:ascii="Times New Roman" w:hAnsi="Times New Roman"/>
          <w:sz w:val="24"/>
          <w:szCs w:val="24"/>
        </w:rPr>
      </w:pPr>
      <w:r>
        <w:rPr>
          <w:rFonts w:hint="eastAsia" w:ascii="Times New Roman" w:hAnsi="Times New Roman" w:cs="仿宋_GB2312"/>
          <w:sz w:val="24"/>
        </w:rPr>
        <w:t>为加快数据中心绿色转型，根据财政部生态环境部工业和信息化部关于印发《绿色数据中心政府采购需求标准（试行）》的通知），本项目如涉及绿色数据中心，具体需求详见第四章采购需求。</w:t>
      </w:r>
    </w:p>
    <w:p w14:paraId="65BE4506">
      <w:pPr>
        <w:rPr>
          <w:rFonts w:ascii="Times New Roman" w:hAnsi="Times New Roman"/>
          <w:b/>
          <w:bCs/>
          <w:sz w:val="28"/>
          <w:szCs w:val="28"/>
        </w:rPr>
      </w:pPr>
      <w:r>
        <w:rPr>
          <w:rFonts w:hint="eastAsia" w:ascii="Times New Roman" w:hAnsi="Times New Roman"/>
          <w:b/>
          <w:bCs/>
          <w:sz w:val="28"/>
          <w:szCs w:val="28"/>
        </w:rPr>
        <w:br w:type="page" w:clear="all"/>
      </w:r>
    </w:p>
    <w:p w14:paraId="35874929">
      <w:pPr>
        <w:keepNext/>
        <w:outlineLvl w:val="0"/>
        <w:rPr>
          <w:rFonts w:ascii="Times New Roman" w:hAnsi="Times New Roman"/>
          <w:b/>
          <w:sz w:val="44"/>
          <w:szCs w:val="44"/>
        </w:rPr>
      </w:pPr>
      <w:bookmarkStart w:id="216" w:name="_Toc5594"/>
      <w:r>
        <w:rPr>
          <w:rFonts w:ascii="Times New Roman" w:hAnsi="Times New Roman"/>
          <w:b/>
          <w:sz w:val="44"/>
          <w:szCs w:val="44"/>
        </w:rPr>
        <w:t xml:space="preserve">第六章  </w:t>
      </w:r>
      <w:bookmarkEnd w:id="212"/>
      <w:bookmarkEnd w:id="213"/>
      <w:bookmarkEnd w:id="214"/>
      <w:r>
        <w:rPr>
          <w:rFonts w:ascii="Times New Roman" w:hAnsi="Times New Roman"/>
          <w:b/>
          <w:sz w:val="44"/>
          <w:szCs w:val="44"/>
        </w:rPr>
        <w:t>响应文件格式</w:t>
      </w:r>
      <w:bookmarkEnd w:id="216"/>
    </w:p>
    <w:p w14:paraId="3B17D59F">
      <w:pPr>
        <w:jc w:val="center"/>
        <w:rPr>
          <w:rFonts w:ascii="Times New Roman" w:hAnsi="Times New Roman"/>
          <w:b/>
          <w:sz w:val="72"/>
          <w:szCs w:val="21"/>
        </w:rPr>
      </w:pPr>
      <w:bookmarkStart w:id="217" w:name="_Hlt26671244"/>
      <w:bookmarkEnd w:id="217"/>
      <w:bookmarkStart w:id="218" w:name="_Hlt26955039"/>
      <w:bookmarkEnd w:id="218"/>
      <w:bookmarkStart w:id="219" w:name="_Toc49090576"/>
      <w:bookmarkStart w:id="220" w:name="_Toc120614282"/>
      <w:bookmarkStart w:id="221" w:name="_Toc26554094"/>
    </w:p>
    <w:p w14:paraId="5BCAC379">
      <w:pPr>
        <w:jc w:val="center"/>
        <w:rPr>
          <w:rFonts w:ascii="Times New Roman" w:hAnsi="Times New Roman"/>
          <w:b/>
          <w:sz w:val="72"/>
          <w:szCs w:val="21"/>
        </w:rPr>
      </w:pPr>
      <w:r>
        <w:rPr>
          <w:rFonts w:ascii="Times New Roman" w:hAnsi="Times New Roman"/>
          <w:b/>
          <w:sz w:val="72"/>
          <w:szCs w:val="21"/>
        </w:rPr>
        <w:t>响  应  文  件</w:t>
      </w:r>
    </w:p>
    <w:p w14:paraId="7DEB8B99">
      <w:pPr>
        <w:jc w:val="center"/>
        <w:rPr>
          <w:rFonts w:ascii="Times New Roman" w:hAnsi="Times New Roman"/>
          <w:b/>
          <w:sz w:val="72"/>
          <w:szCs w:val="21"/>
        </w:rPr>
      </w:pPr>
    </w:p>
    <w:p w14:paraId="26A04F2E">
      <w:pPr>
        <w:jc w:val="center"/>
        <w:rPr>
          <w:rFonts w:ascii="Times New Roman" w:hAnsi="Times New Roman"/>
          <w:b/>
          <w:sz w:val="72"/>
          <w:szCs w:val="21"/>
        </w:rPr>
      </w:pPr>
    </w:p>
    <w:p w14:paraId="5AB257F0">
      <w:pPr>
        <w:jc w:val="center"/>
        <w:rPr>
          <w:rFonts w:ascii="Times New Roman" w:hAnsi="Times New Roman"/>
          <w:b/>
          <w:sz w:val="36"/>
          <w:szCs w:val="21"/>
        </w:rPr>
      </w:pPr>
    </w:p>
    <w:p w14:paraId="5A62E8BC">
      <w:pPr>
        <w:jc w:val="center"/>
        <w:rPr>
          <w:rFonts w:ascii="Times New Roman" w:hAnsi="Times New Roman"/>
          <w:b/>
          <w:sz w:val="36"/>
          <w:szCs w:val="21"/>
        </w:rPr>
      </w:pPr>
    </w:p>
    <w:p w14:paraId="4F1DBBB3">
      <w:pPr>
        <w:jc w:val="center"/>
        <w:rPr>
          <w:rFonts w:ascii="Times New Roman" w:hAnsi="Times New Roman"/>
          <w:b/>
          <w:sz w:val="36"/>
          <w:szCs w:val="21"/>
        </w:rPr>
      </w:pPr>
    </w:p>
    <w:p w14:paraId="03ADDD88">
      <w:pPr>
        <w:ind w:firstLine="1084"/>
        <w:rPr>
          <w:rFonts w:ascii="Times New Roman" w:hAnsi="Times New Roman"/>
          <w:b/>
          <w:sz w:val="36"/>
        </w:rPr>
      </w:pPr>
      <w:r>
        <w:rPr>
          <w:rFonts w:ascii="Times New Roman" w:hAnsi="Times New Roman"/>
          <w:b/>
          <w:sz w:val="36"/>
        </w:rPr>
        <w:t>项 目 名 称：</w:t>
      </w:r>
      <w:r>
        <w:rPr>
          <w:rFonts w:ascii="Times New Roman" w:hAnsi="Times New Roman"/>
          <w:b/>
          <w:sz w:val="36"/>
          <w:u w:val="single"/>
        </w:rPr>
        <w:t xml:space="preserve">               </w:t>
      </w:r>
    </w:p>
    <w:p w14:paraId="2124A906">
      <w:pPr>
        <w:ind w:firstLine="1084"/>
        <w:rPr>
          <w:rFonts w:ascii="Times New Roman" w:hAnsi="Times New Roman"/>
          <w:b/>
          <w:sz w:val="36"/>
          <w:u w:val="single"/>
        </w:rPr>
      </w:pPr>
      <w:r>
        <w:rPr>
          <w:rFonts w:ascii="Times New Roman" w:hAnsi="Times New Roman"/>
          <w:b/>
          <w:sz w:val="36"/>
        </w:rPr>
        <w:t>项 目 编 号：</w:t>
      </w:r>
      <w:r>
        <w:rPr>
          <w:rFonts w:ascii="Times New Roman" w:hAnsi="Times New Roman"/>
          <w:b/>
          <w:sz w:val="36"/>
          <w:u w:val="single"/>
        </w:rPr>
        <w:t xml:space="preserve">               </w:t>
      </w:r>
    </w:p>
    <w:p w14:paraId="35F53BFF">
      <w:pPr>
        <w:rPr>
          <w:rFonts w:ascii="Times New Roman" w:hAnsi="Times New Roman"/>
          <w:b/>
          <w:sz w:val="36"/>
          <w:u w:val="single"/>
        </w:rPr>
      </w:pPr>
      <w:r>
        <w:rPr>
          <w:rFonts w:ascii="Times New Roman" w:hAnsi="Times New Roman"/>
          <w:b/>
          <w:sz w:val="36"/>
        </w:rPr>
        <w:t xml:space="preserve">      投标人名称 ：</w:t>
      </w:r>
      <w:r>
        <w:rPr>
          <w:rFonts w:ascii="Times New Roman" w:hAnsi="Times New Roman"/>
          <w:b/>
          <w:sz w:val="36"/>
          <w:u w:val="single"/>
        </w:rPr>
        <w:t>（加盖CA电子公章）</w:t>
      </w:r>
    </w:p>
    <w:p w14:paraId="0B0E781A">
      <w:pPr>
        <w:rPr>
          <w:rFonts w:ascii="Times New Roman" w:hAnsi="Times New Roman"/>
          <w:b/>
          <w:sz w:val="36"/>
          <w:u w:val="single"/>
        </w:rPr>
      </w:pPr>
      <w:r>
        <w:rPr>
          <w:rFonts w:ascii="Times New Roman" w:hAnsi="Times New Roman"/>
          <w:b/>
          <w:sz w:val="36"/>
        </w:rPr>
        <w:t xml:space="preserve">      日      期 ：</w:t>
      </w:r>
      <w:r>
        <w:rPr>
          <w:rFonts w:ascii="Times New Roman" w:hAnsi="Times New Roman"/>
          <w:b/>
          <w:sz w:val="36"/>
          <w:u w:val="single"/>
        </w:rPr>
        <w:t xml:space="preserve">               </w:t>
      </w:r>
    </w:p>
    <w:p w14:paraId="5180ADF6">
      <w:pPr>
        <w:spacing w:line="440" w:lineRule="exact"/>
        <w:jc w:val="center"/>
        <w:rPr>
          <w:rFonts w:ascii="Times New Roman" w:hAnsi="Times New Roman"/>
          <w:b/>
          <w:bCs/>
          <w:sz w:val="32"/>
          <w:szCs w:val="32"/>
        </w:rPr>
      </w:pPr>
    </w:p>
    <w:p w14:paraId="67082F71">
      <w:pPr>
        <w:spacing w:line="440" w:lineRule="exact"/>
        <w:rPr>
          <w:rFonts w:ascii="Times New Roman" w:hAnsi="Times New Roman"/>
          <w:szCs w:val="21"/>
        </w:rPr>
      </w:pPr>
    </w:p>
    <w:p w14:paraId="493C6785">
      <w:pPr>
        <w:ind w:firstLine="1084"/>
        <w:jc w:val="center"/>
        <w:rPr>
          <w:rFonts w:ascii="Times New Roman" w:hAnsi="Times New Roman"/>
          <w:b/>
          <w:bCs/>
          <w:sz w:val="32"/>
          <w:szCs w:val="32"/>
        </w:rPr>
      </w:pPr>
      <w:r>
        <w:rPr>
          <w:rFonts w:ascii="Times New Roman" w:hAnsi="Times New Roman"/>
          <w:b/>
          <w:sz w:val="36"/>
          <w:szCs w:val="21"/>
          <w:u w:val="single"/>
        </w:rPr>
        <w:br w:type="page" w:clear="all"/>
      </w:r>
      <w:r>
        <w:rPr>
          <w:rFonts w:ascii="Times New Roman" w:hAnsi="Times New Roman"/>
          <w:b/>
          <w:bCs/>
          <w:sz w:val="32"/>
          <w:szCs w:val="32"/>
        </w:rPr>
        <w:t>响应文件目录</w:t>
      </w:r>
      <w:bookmarkEnd w:id="210"/>
      <w:bookmarkEnd w:id="211"/>
      <w:bookmarkEnd w:id="219"/>
      <w:bookmarkEnd w:id="220"/>
      <w:bookmarkEnd w:id="221"/>
    </w:p>
    <w:p w14:paraId="0E7F0021">
      <w:pPr>
        <w:spacing w:line="440" w:lineRule="exact"/>
        <w:jc w:val="center"/>
        <w:rPr>
          <w:rFonts w:ascii="宋体" w:hAnsi="宋体" w:cs="宋体"/>
          <w:b/>
          <w:bCs/>
          <w:sz w:val="32"/>
          <w:szCs w:val="32"/>
        </w:rPr>
      </w:pPr>
    </w:p>
    <w:p w14:paraId="5660E732">
      <w:pPr>
        <w:spacing w:line="440" w:lineRule="exact"/>
        <w:ind w:firstLine="480"/>
        <w:rPr>
          <w:rFonts w:ascii="宋体" w:hAnsi="宋体" w:cs="宋体"/>
          <w:sz w:val="24"/>
          <w:szCs w:val="21"/>
        </w:rPr>
      </w:pPr>
      <w:r>
        <w:rPr>
          <w:rFonts w:hint="eastAsia" w:ascii="宋体" w:hAnsi="宋体" w:cs="宋体"/>
          <w:sz w:val="24"/>
          <w:szCs w:val="21"/>
        </w:rPr>
        <w:t>一、磋商申请及声明</w:t>
      </w:r>
    </w:p>
    <w:p w14:paraId="36EF94AA">
      <w:pPr>
        <w:spacing w:line="440" w:lineRule="exact"/>
        <w:ind w:firstLine="480"/>
        <w:rPr>
          <w:rFonts w:ascii="宋体" w:hAnsi="宋体" w:cs="宋体"/>
          <w:sz w:val="24"/>
          <w:szCs w:val="21"/>
        </w:rPr>
      </w:pPr>
      <w:r>
        <w:rPr>
          <w:rFonts w:hint="eastAsia" w:ascii="宋体" w:hAnsi="宋体" w:cs="宋体"/>
          <w:sz w:val="24"/>
          <w:szCs w:val="21"/>
        </w:rPr>
        <w:t>二、供应商基本信息</w:t>
      </w:r>
    </w:p>
    <w:p w14:paraId="3F1F73C4">
      <w:pPr>
        <w:spacing w:line="440" w:lineRule="exact"/>
        <w:ind w:firstLine="480"/>
        <w:rPr>
          <w:rFonts w:ascii="宋体" w:hAnsi="宋体" w:cs="宋体"/>
          <w:sz w:val="24"/>
          <w:szCs w:val="21"/>
        </w:rPr>
      </w:pPr>
      <w:r>
        <w:rPr>
          <w:rFonts w:hint="eastAsia" w:ascii="宋体" w:hAnsi="宋体" w:cs="宋体"/>
          <w:sz w:val="24"/>
          <w:szCs w:val="21"/>
        </w:rPr>
        <w:t>三、特定资格要求的证明文件</w:t>
      </w:r>
    </w:p>
    <w:p w14:paraId="5AB89AAE">
      <w:pPr>
        <w:spacing w:line="440" w:lineRule="exact"/>
        <w:ind w:firstLine="480"/>
        <w:rPr>
          <w:rFonts w:ascii="宋体" w:hAnsi="宋体" w:cs="宋体"/>
          <w:sz w:val="24"/>
          <w:szCs w:val="21"/>
        </w:rPr>
      </w:pPr>
      <w:r>
        <w:rPr>
          <w:rFonts w:hint="eastAsia" w:ascii="宋体" w:hAnsi="宋体" w:cs="宋体"/>
          <w:sz w:val="24"/>
          <w:szCs w:val="21"/>
        </w:rPr>
        <w:t>四、法人授权书</w:t>
      </w:r>
    </w:p>
    <w:p w14:paraId="739A1BFA">
      <w:pPr>
        <w:spacing w:line="440" w:lineRule="exact"/>
        <w:ind w:firstLine="480"/>
        <w:rPr>
          <w:rFonts w:ascii="宋体" w:hAnsi="宋体" w:cs="宋体"/>
          <w:sz w:val="24"/>
          <w:szCs w:val="21"/>
        </w:rPr>
      </w:pPr>
      <w:r>
        <w:rPr>
          <w:rFonts w:hint="eastAsia" w:ascii="宋体" w:hAnsi="宋体" w:cs="宋体"/>
          <w:sz w:val="24"/>
          <w:szCs w:val="21"/>
        </w:rPr>
        <w:t>五、中小企业声明函</w:t>
      </w:r>
    </w:p>
    <w:p w14:paraId="5056F4C0">
      <w:pPr>
        <w:spacing w:line="440" w:lineRule="exact"/>
        <w:ind w:firstLine="480"/>
        <w:rPr>
          <w:rFonts w:ascii="宋体" w:hAnsi="宋体" w:cs="宋体"/>
          <w:sz w:val="24"/>
          <w:szCs w:val="21"/>
        </w:rPr>
      </w:pPr>
      <w:r>
        <w:rPr>
          <w:rFonts w:hint="eastAsia" w:ascii="宋体" w:hAnsi="宋体" w:cs="宋体"/>
          <w:sz w:val="24"/>
          <w:szCs w:val="21"/>
        </w:rPr>
        <w:t>六、磋商报价表</w:t>
      </w:r>
    </w:p>
    <w:p w14:paraId="2EC1AD08">
      <w:pPr>
        <w:spacing w:line="440" w:lineRule="exact"/>
        <w:ind w:firstLine="480"/>
        <w:rPr>
          <w:rFonts w:ascii="宋体" w:hAnsi="宋体" w:cs="宋体"/>
          <w:sz w:val="24"/>
          <w:szCs w:val="21"/>
        </w:rPr>
      </w:pPr>
      <w:r>
        <w:rPr>
          <w:rFonts w:hint="eastAsia" w:ascii="宋体" w:hAnsi="宋体" w:cs="宋体"/>
          <w:sz w:val="24"/>
          <w:szCs w:val="21"/>
        </w:rPr>
        <w:t>七、分项报价表</w:t>
      </w:r>
    </w:p>
    <w:p w14:paraId="15BC7561">
      <w:pPr>
        <w:spacing w:line="440" w:lineRule="exact"/>
        <w:ind w:firstLine="480"/>
        <w:rPr>
          <w:rFonts w:ascii="宋体" w:hAnsi="宋体" w:cs="宋体"/>
          <w:sz w:val="24"/>
          <w:szCs w:val="21"/>
        </w:rPr>
      </w:pPr>
      <w:r>
        <w:rPr>
          <w:rFonts w:hint="eastAsia" w:ascii="宋体" w:hAnsi="宋体" w:cs="宋体"/>
          <w:sz w:val="24"/>
          <w:szCs w:val="21"/>
        </w:rPr>
        <w:t>八、技术要求响应及偏离表</w:t>
      </w:r>
    </w:p>
    <w:p w14:paraId="37EF9E8D">
      <w:pPr>
        <w:spacing w:line="440" w:lineRule="exact"/>
        <w:ind w:firstLine="480"/>
        <w:rPr>
          <w:rFonts w:ascii="宋体" w:hAnsi="宋体" w:cs="宋体"/>
          <w:sz w:val="24"/>
          <w:szCs w:val="21"/>
        </w:rPr>
      </w:pPr>
      <w:r>
        <w:rPr>
          <w:rFonts w:hint="eastAsia" w:ascii="宋体" w:hAnsi="宋体" w:cs="宋体"/>
          <w:sz w:val="24"/>
          <w:szCs w:val="21"/>
        </w:rPr>
        <w:t>九、技术要求响应及偏离表</w:t>
      </w:r>
    </w:p>
    <w:p w14:paraId="6CB15BFD">
      <w:pPr>
        <w:spacing w:line="440" w:lineRule="exact"/>
        <w:ind w:firstLine="480"/>
        <w:rPr>
          <w:rFonts w:ascii="宋体" w:hAnsi="宋体" w:cs="宋体"/>
          <w:sz w:val="24"/>
          <w:szCs w:val="21"/>
        </w:rPr>
      </w:pPr>
      <w:r>
        <w:rPr>
          <w:rFonts w:hint="eastAsia" w:ascii="宋体" w:hAnsi="宋体" w:cs="宋体"/>
          <w:sz w:val="24"/>
          <w:szCs w:val="21"/>
        </w:rPr>
        <w:t>十、项目组人员</w:t>
      </w:r>
    </w:p>
    <w:p w14:paraId="13CD2F8E">
      <w:pPr>
        <w:spacing w:line="440" w:lineRule="exact"/>
        <w:ind w:firstLine="480"/>
        <w:rPr>
          <w:rFonts w:ascii="宋体" w:hAnsi="宋体" w:cs="宋体"/>
          <w:sz w:val="24"/>
          <w:szCs w:val="21"/>
        </w:rPr>
      </w:pPr>
      <w:r>
        <w:rPr>
          <w:rFonts w:hint="eastAsia" w:ascii="宋体" w:hAnsi="宋体" w:cs="宋体"/>
          <w:sz w:val="24"/>
          <w:szCs w:val="21"/>
        </w:rPr>
        <w:t>十一、企业业绩</w:t>
      </w:r>
    </w:p>
    <w:p w14:paraId="54884C1B">
      <w:pPr>
        <w:spacing w:line="440" w:lineRule="exact"/>
        <w:ind w:firstLine="480"/>
        <w:rPr>
          <w:rFonts w:ascii="宋体" w:hAnsi="宋体" w:cs="宋体"/>
          <w:sz w:val="24"/>
          <w:szCs w:val="21"/>
        </w:rPr>
      </w:pPr>
      <w:r>
        <w:rPr>
          <w:rFonts w:hint="eastAsia" w:ascii="宋体" w:hAnsi="宋体" w:cs="宋体"/>
          <w:sz w:val="24"/>
          <w:szCs w:val="21"/>
        </w:rPr>
        <w:t>十二、项目实施方案</w:t>
      </w:r>
    </w:p>
    <w:p w14:paraId="5F1D1268">
      <w:pPr>
        <w:spacing w:line="440" w:lineRule="exact"/>
        <w:ind w:firstLine="480"/>
        <w:rPr>
          <w:rFonts w:ascii="宋体" w:hAnsi="宋体" w:cs="宋体"/>
          <w:sz w:val="24"/>
          <w:szCs w:val="21"/>
        </w:rPr>
      </w:pPr>
      <w:r>
        <w:rPr>
          <w:rFonts w:hint="eastAsia" w:ascii="宋体" w:hAnsi="宋体" w:cs="宋体"/>
          <w:sz w:val="24"/>
          <w:szCs w:val="21"/>
        </w:rPr>
        <w:t>十三、磋商所需其他材料</w:t>
      </w:r>
    </w:p>
    <w:p w14:paraId="4158EA1F">
      <w:pPr>
        <w:spacing w:line="440" w:lineRule="exact"/>
        <w:ind w:firstLine="480"/>
        <w:rPr>
          <w:rFonts w:ascii="宋体" w:hAnsi="宋体" w:cs="宋体"/>
          <w:sz w:val="24"/>
          <w:szCs w:val="21"/>
        </w:rPr>
      </w:pPr>
    </w:p>
    <w:p w14:paraId="162CCBD3">
      <w:pPr>
        <w:spacing w:line="440" w:lineRule="exact"/>
        <w:ind w:firstLine="480"/>
        <w:rPr>
          <w:rFonts w:ascii="宋体" w:hAnsi="宋体" w:cs="宋体"/>
          <w:sz w:val="24"/>
          <w:szCs w:val="21"/>
        </w:rPr>
      </w:pPr>
    </w:p>
    <w:p w14:paraId="093C043D">
      <w:pPr>
        <w:spacing w:line="440" w:lineRule="exact"/>
        <w:ind w:firstLine="480"/>
        <w:rPr>
          <w:rFonts w:ascii="宋体" w:hAnsi="宋体" w:cs="宋体"/>
          <w:sz w:val="24"/>
          <w:szCs w:val="21"/>
        </w:rPr>
      </w:pPr>
    </w:p>
    <w:p w14:paraId="26AA584B">
      <w:pPr>
        <w:spacing w:line="440" w:lineRule="exact"/>
        <w:ind w:firstLine="480"/>
        <w:rPr>
          <w:rFonts w:ascii="宋体" w:hAnsi="宋体" w:cs="宋体"/>
          <w:sz w:val="24"/>
          <w:szCs w:val="21"/>
        </w:rPr>
      </w:pPr>
    </w:p>
    <w:p w14:paraId="5E58E85C">
      <w:pPr>
        <w:spacing w:line="440" w:lineRule="exact"/>
        <w:ind w:firstLine="480"/>
        <w:rPr>
          <w:rFonts w:ascii="宋体" w:hAnsi="宋体" w:cs="宋体"/>
          <w:sz w:val="24"/>
          <w:szCs w:val="21"/>
        </w:rPr>
      </w:pPr>
    </w:p>
    <w:p w14:paraId="5F5D17EC">
      <w:pPr>
        <w:spacing w:line="440" w:lineRule="exact"/>
        <w:ind w:firstLine="480"/>
        <w:rPr>
          <w:rFonts w:ascii="宋体" w:hAnsi="宋体" w:cs="宋体"/>
          <w:sz w:val="24"/>
          <w:szCs w:val="21"/>
        </w:rPr>
      </w:pPr>
    </w:p>
    <w:p w14:paraId="63DFAFA4">
      <w:pPr>
        <w:spacing w:line="440" w:lineRule="exact"/>
        <w:ind w:firstLine="480"/>
        <w:rPr>
          <w:rFonts w:ascii="宋体" w:hAnsi="宋体" w:cs="宋体"/>
          <w:sz w:val="24"/>
          <w:szCs w:val="21"/>
        </w:rPr>
      </w:pPr>
    </w:p>
    <w:p w14:paraId="2849B48F">
      <w:pPr>
        <w:spacing w:line="440" w:lineRule="exact"/>
        <w:ind w:firstLine="480"/>
        <w:rPr>
          <w:rFonts w:ascii="宋体" w:hAnsi="宋体" w:cs="宋体"/>
          <w:sz w:val="24"/>
          <w:szCs w:val="21"/>
        </w:rPr>
      </w:pPr>
    </w:p>
    <w:p w14:paraId="7437B859">
      <w:pPr>
        <w:spacing w:line="440" w:lineRule="exact"/>
        <w:ind w:firstLine="480"/>
        <w:rPr>
          <w:rFonts w:ascii="宋体" w:hAnsi="宋体" w:cs="宋体"/>
          <w:sz w:val="24"/>
          <w:szCs w:val="21"/>
        </w:rPr>
      </w:pPr>
    </w:p>
    <w:p w14:paraId="0A17AA54">
      <w:pPr>
        <w:spacing w:line="440" w:lineRule="exact"/>
        <w:ind w:firstLine="480"/>
        <w:rPr>
          <w:rFonts w:ascii="宋体" w:hAnsi="宋体" w:cs="宋体"/>
          <w:sz w:val="24"/>
          <w:szCs w:val="21"/>
        </w:rPr>
      </w:pPr>
    </w:p>
    <w:p w14:paraId="744B9FC7">
      <w:pPr>
        <w:spacing w:line="440" w:lineRule="exact"/>
        <w:ind w:firstLine="480"/>
        <w:rPr>
          <w:rFonts w:ascii="宋体" w:hAnsi="宋体" w:cs="宋体"/>
          <w:sz w:val="24"/>
          <w:szCs w:val="21"/>
        </w:rPr>
      </w:pPr>
    </w:p>
    <w:p w14:paraId="13A09CE3">
      <w:pPr>
        <w:spacing w:line="440" w:lineRule="exact"/>
        <w:ind w:firstLine="480"/>
        <w:rPr>
          <w:rFonts w:ascii="宋体" w:hAnsi="宋体" w:cs="宋体"/>
          <w:sz w:val="24"/>
          <w:szCs w:val="21"/>
        </w:rPr>
      </w:pPr>
    </w:p>
    <w:p w14:paraId="11583B08">
      <w:pPr>
        <w:spacing w:line="440" w:lineRule="exact"/>
        <w:ind w:firstLine="480"/>
        <w:rPr>
          <w:rFonts w:ascii="宋体" w:hAnsi="宋体" w:cs="宋体"/>
          <w:sz w:val="24"/>
          <w:szCs w:val="21"/>
        </w:rPr>
      </w:pPr>
    </w:p>
    <w:p w14:paraId="5E0D1A0D">
      <w:pPr>
        <w:spacing w:line="440" w:lineRule="exact"/>
        <w:ind w:firstLine="480"/>
        <w:rPr>
          <w:rFonts w:ascii="宋体" w:hAnsi="宋体" w:cs="宋体"/>
          <w:sz w:val="24"/>
          <w:szCs w:val="21"/>
        </w:rPr>
      </w:pPr>
    </w:p>
    <w:p w14:paraId="1ED03930">
      <w:pPr>
        <w:spacing w:line="440" w:lineRule="exact"/>
        <w:ind w:firstLine="480"/>
        <w:rPr>
          <w:rFonts w:ascii="宋体" w:hAnsi="宋体" w:cs="宋体"/>
          <w:sz w:val="24"/>
          <w:szCs w:val="21"/>
        </w:rPr>
      </w:pPr>
    </w:p>
    <w:p w14:paraId="0F2FC999">
      <w:pPr>
        <w:spacing w:line="440" w:lineRule="exact"/>
        <w:ind w:firstLine="480"/>
        <w:rPr>
          <w:rFonts w:ascii="宋体" w:hAnsi="宋体" w:cs="宋体"/>
          <w:sz w:val="24"/>
          <w:szCs w:val="21"/>
        </w:rPr>
      </w:pPr>
    </w:p>
    <w:p w14:paraId="42F33CD8">
      <w:pPr>
        <w:spacing w:line="440" w:lineRule="exact"/>
        <w:ind w:firstLine="480"/>
        <w:rPr>
          <w:rFonts w:ascii="宋体" w:hAnsi="宋体" w:cs="宋体"/>
          <w:sz w:val="24"/>
          <w:szCs w:val="21"/>
        </w:rPr>
      </w:pPr>
    </w:p>
    <w:p w14:paraId="20201E35">
      <w:pPr>
        <w:outlineLvl w:val="1"/>
        <w:rPr>
          <w:rFonts w:ascii="宋体" w:hAnsi="宋体" w:cs="宋体"/>
          <w:iCs/>
          <w:sz w:val="32"/>
          <w:szCs w:val="32"/>
        </w:rPr>
      </w:pPr>
      <w:bookmarkStart w:id="222" w:name="_Toc14481"/>
      <w:bookmarkStart w:id="223" w:name="_Toc10817"/>
      <w:r>
        <w:rPr>
          <w:rFonts w:hint="eastAsia" w:ascii="宋体" w:hAnsi="宋体" w:cs="宋体"/>
          <w:iCs/>
          <w:sz w:val="32"/>
          <w:szCs w:val="32"/>
        </w:rPr>
        <w:t>一、磋商申请及声明</w:t>
      </w:r>
      <w:bookmarkEnd w:id="222"/>
      <w:bookmarkEnd w:id="223"/>
    </w:p>
    <w:p w14:paraId="385238AD">
      <w:pPr>
        <w:pStyle w:val="294"/>
        <w:jc w:val="center"/>
        <w:rPr>
          <w:rFonts w:ascii="宋体" w:hAnsi="宋体" w:cs="宋体"/>
          <w:b/>
          <w:sz w:val="32"/>
          <w:szCs w:val="32"/>
        </w:rPr>
      </w:pPr>
      <w:r>
        <w:rPr>
          <w:rFonts w:hint="eastAsia" w:ascii="宋体" w:hAnsi="宋体" w:cs="宋体"/>
          <w:b/>
          <w:sz w:val="32"/>
          <w:szCs w:val="32"/>
        </w:rPr>
        <w:t>响应声明及承诺函</w:t>
      </w:r>
    </w:p>
    <w:p w14:paraId="2569EF7F">
      <w:pPr>
        <w:pStyle w:val="294"/>
        <w:spacing w:line="500" w:lineRule="exact"/>
        <w:jc w:val="left"/>
        <w:rPr>
          <w:rFonts w:ascii="宋体" w:hAnsi="宋体" w:cs="宋体"/>
          <w:sz w:val="24"/>
          <w:szCs w:val="24"/>
          <w:u w:val="single"/>
        </w:rPr>
      </w:pPr>
      <w:r>
        <w:rPr>
          <w:rFonts w:hint="eastAsia" w:ascii="宋体" w:hAnsi="宋体" w:cs="宋体"/>
          <w:sz w:val="24"/>
          <w:szCs w:val="24"/>
          <w:u w:val="single"/>
        </w:rPr>
        <w:t>（采购单位名称）：</w:t>
      </w:r>
    </w:p>
    <w:p w14:paraId="44B34BFA">
      <w:pPr>
        <w:pStyle w:val="294"/>
        <w:spacing w:line="500" w:lineRule="exact"/>
        <w:ind w:firstLine="480"/>
        <w:jc w:val="left"/>
        <w:rPr>
          <w:rFonts w:ascii="宋体" w:hAnsi="宋体" w:cs="宋体"/>
          <w:sz w:val="24"/>
          <w:szCs w:val="24"/>
        </w:rPr>
      </w:pPr>
      <w:r>
        <w:rPr>
          <w:rFonts w:hint="eastAsia" w:ascii="宋体" w:hAnsi="宋体" w:cs="宋体"/>
          <w:sz w:val="24"/>
          <w:szCs w:val="24"/>
        </w:rPr>
        <w:t>根据已收到的项目编号为</w:t>
      </w:r>
      <w:r>
        <w:rPr>
          <w:rFonts w:hint="eastAsia" w:ascii="宋体" w:hAnsi="宋体" w:cs="宋体"/>
          <w:sz w:val="24"/>
          <w:szCs w:val="24"/>
          <w:u w:val="single"/>
        </w:rPr>
        <w:t xml:space="preserve">        </w:t>
      </w:r>
      <w:r>
        <w:rPr>
          <w:rFonts w:hint="eastAsia" w:ascii="宋体" w:hAnsi="宋体" w:cs="宋体"/>
          <w:sz w:val="24"/>
          <w:szCs w:val="24"/>
        </w:rPr>
        <w:t>的</w:t>
      </w:r>
      <w:r>
        <w:rPr>
          <w:rFonts w:hint="eastAsia" w:ascii="宋体" w:hAnsi="宋体" w:cs="宋体"/>
          <w:sz w:val="24"/>
          <w:szCs w:val="24"/>
          <w:u w:val="single"/>
        </w:rPr>
        <w:t xml:space="preserve">         </w:t>
      </w:r>
      <w:r>
        <w:rPr>
          <w:rFonts w:hint="eastAsia" w:ascii="宋体" w:hAnsi="宋体" w:cs="宋体"/>
          <w:sz w:val="24"/>
          <w:szCs w:val="24"/>
        </w:rPr>
        <w:t>项目的竞争性磋商文件，我单位在参加本项目竞争性磋商活动中，特做出如下承诺：</w:t>
      </w:r>
    </w:p>
    <w:p w14:paraId="704844B4">
      <w:pPr>
        <w:pStyle w:val="294"/>
        <w:spacing w:line="500" w:lineRule="exact"/>
        <w:ind w:firstLine="480"/>
        <w:jc w:val="left"/>
        <w:rPr>
          <w:rFonts w:ascii="宋体" w:hAnsi="宋体" w:cs="宋体"/>
          <w:sz w:val="24"/>
          <w:szCs w:val="24"/>
        </w:rPr>
      </w:pPr>
      <w:r>
        <w:rPr>
          <w:rFonts w:hint="eastAsia" w:ascii="宋体" w:hAnsi="宋体" w:cs="宋体"/>
          <w:sz w:val="24"/>
          <w:szCs w:val="24"/>
        </w:rPr>
        <w:t>一、我方</w:t>
      </w:r>
      <w:r>
        <w:rPr>
          <w:rFonts w:hint="eastAsia" w:ascii="宋体" w:hAnsi="宋体" w:cs="宋体"/>
          <w:sz w:val="24"/>
        </w:rPr>
        <w:t>具备《中华人民共和国政府采购法》第二十二条第一款规定的6项条件；</w:t>
      </w:r>
    </w:p>
    <w:p w14:paraId="52B90C58">
      <w:pPr>
        <w:pStyle w:val="294"/>
        <w:spacing w:line="500" w:lineRule="exact"/>
        <w:ind w:firstLine="480"/>
        <w:jc w:val="left"/>
        <w:rPr>
          <w:rFonts w:ascii="宋体" w:hAnsi="宋体" w:cs="宋体"/>
          <w:sz w:val="24"/>
          <w:szCs w:val="24"/>
        </w:rPr>
      </w:pPr>
      <w:r>
        <w:rPr>
          <w:rFonts w:hint="eastAsia" w:ascii="宋体" w:hAnsi="宋体" w:cs="宋体"/>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32405CF8">
      <w:pPr>
        <w:pStyle w:val="294"/>
        <w:spacing w:line="500" w:lineRule="exact"/>
        <w:ind w:firstLine="480"/>
        <w:jc w:val="left"/>
        <w:rPr>
          <w:rFonts w:ascii="宋体" w:hAnsi="宋体" w:cs="宋体"/>
          <w:sz w:val="24"/>
          <w:szCs w:val="24"/>
        </w:rPr>
      </w:pPr>
      <w:r>
        <w:rPr>
          <w:rFonts w:hint="eastAsia" w:ascii="宋体" w:hAnsi="宋体" w:cs="宋体"/>
          <w:sz w:val="24"/>
          <w:szCs w:val="24"/>
        </w:rPr>
        <w:t>三、我方按磋商文件要求提交响应文件，响应磋商文件规定的响应有效期；</w:t>
      </w:r>
    </w:p>
    <w:p w14:paraId="404634F7">
      <w:pPr>
        <w:pStyle w:val="294"/>
        <w:spacing w:line="500" w:lineRule="exact"/>
        <w:ind w:firstLine="480"/>
        <w:jc w:val="left"/>
        <w:rPr>
          <w:rFonts w:ascii="宋体" w:hAnsi="宋体" w:cs="宋体"/>
          <w:sz w:val="24"/>
          <w:szCs w:val="24"/>
        </w:rPr>
      </w:pPr>
      <w:r>
        <w:rPr>
          <w:rFonts w:hint="eastAsia" w:ascii="宋体" w:hAnsi="宋体" w:cs="宋体"/>
          <w:sz w:val="24"/>
          <w:szCs w:val="24"/>
        </w:rPr>
        <w:t>四、如果我方的响应文件被接受，我方将按《中华人民共和国民法典（第三编合同） 》及其他有关法律、法规的规定，按期、按质、按量交付采购单位，全面做到履约守信；</w:t>
      </w:r>
    </w:p>
    <w:p w14:paraId="04B2EB44">
      <w:pPr>
        <w:pStyle w:val="294"/>
        <w:spacing w:line="500" w:lineRule="exact"/>
        <w:ind w:firstLine="480"/>
        <w:jc w:val="left"/>
        <w:rPr>
          <w:rFonts w:ascii="宋体" w:hAnsi="宋体" w:cs="宋体"/>
          <w:sz w:val="24"/>
          <w:szCs w:val="24"/>
        </w:rPr>
      </w:pPr>
      <w:r>
        <w:rPr>
          <w:rFonts w:hint="eastAsia" w:ascii="宋体" w:hAnsi="宋体" w:cs="宋体"/>
          <w:sz w:val="24"/>
          <w:szCs w:val="24"/>
        </w:rPr>
        <w:t>五、我方若违背本声明及承诺约定，经查实，自愿接受采购人及相关主管部门相应的规定处理，并依法承担相应的法律责任。</w:t>
      </w:r>
    </w:p>
    <w:p w14:paraId="104CDB9C">
      <w:pPr>
        <w:pStyle w:val="294"/>
        <w:spacing w:line="500" w:lineRule="exact"/>
        <w:ind w:firstLine="480"/>
        <w:jc w:val="left"/>
        <w:rPr>
          <w:rFonts w:ascii="宋体" w:hAnsi="宋体" w:cs="宋体"/>
          <w:sz w:val="24"/>
          <w:szCs w:val="24"/>
        </w:rPr>
      </w:pPr>
      <w:r>
        <w:rPr>
          <w:rFonts w:hint="eastAsia" w:ascii="宋体" w:hAnsi="宋体" w:cs="宋体"/>
          <w:sz w:val="24"/>
          <w:szCs w:val="24"/>
        </w:rPr>
        <w:t>六、我方同意采购人、采购代理机构将本声明及承诺函上网公开。</w:t>
      </w:r>
    </w:p>
    <w:p w14:paraId="3C7750BE">
      <w:pPr>
        <w:pStyle w:val="294"/>
        <w:spacing w:line="500" w:lineRule="exact"/>
        <w:ind w:firstLine="480"/>
        <w:jc w:val="left"/>
        <w:rPr>
          <w:rFonts w:ascii="宋体" w:hAnsi="宋体" w:cs="宋体"/>
          <w:sz w:val="24"/>
          <w:szCs w:val="24"/>
        </w:rPr>
      </w:pPr>
    </w:p>
    <w:p w14:paraId="43210637">
      <w:pPr>
        <w:pStyle w:val="294"/>
        <w:spacing w:line="500" w:lineRule="exact"/>
        <w:jc w:val="left"/>
        <w:rPr>
          <w:rFonts w:ascii="宋体" w:hAnsi="宋体" w:cs="宋体"/>
          <w:sz w:val="24"/>
          <w:szCs w:val="24"/>
        </w:rPr>
      </w:pPr>
    </w:p>
    <w:p w14:paraId="4B8DD23F">
      <w:pPr>
        <w:pStyle w:val="294"/>
        <w:spacing w:line="500" w:lineRule="exact"/>
        <w:ind w:firstLine="480"/>
        <w:jc w:val="left"/>
        <w:rPr>
          <w:rFonts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（加盖CA电子公章）</w:t>
      </w:r>
    </w:p>
    <w:p w14:paraId="798F4F22">
      <w:pPr>
        <w:spacing w:line="440" w:lineRule="exact"/>
        <w:ind w:firstLine="480"/>
        <w:rPr>
          <w:rFonts w:ascii="宋体" w:hAnsi="宋体" w:cs="宋体"/>
          <w:sz w:val="24"/>
          <w:szCs w:val="24"/>
        </w:rPr>
      </w:pPr>
      <w:r>
        <w:rPr>
          <w:rFonts w:hint="eastAsia" w:ascii="宋体" w:hAnsi="宋体" w:cs="宋体"/>
          <w:sz w:val="24"/>
          <w:szCs w:val="24"/>
        </w:rPr>
        <w:t>日期：    年    月   日</w:t>
      </w:r>
    </w:p>
    <w:p w14:paraId="56ED29A4">
      <w:pPr>
        <w:spacing w:line="440" w:lineRule="exact"/>
        <w:ind w:firstLine="480"/>
        <w:rPr>
          <w:rFonts w:ascii="宋体" w:hAnsi="宋体" w:cs="宋体"/>
          <w:sz w:val="24"/>
          <w:szCs w:val="24"/>
        </w:rPr>
      </w:pPr>
    </w:p>
    <w:p w14:paraId="2C224A51">
      <w:pPr>
        <w:spacing w:line="440" w:lineRule="exact"/>
        <w:ind w:firstLine="480"/>
        <w:rPr>
          <w:rFonts w:ascii="宋体" w:hAnsi="宋体" w:cs="宋体"/>
          <w:sz w:val="24"/>
          <w:szCs w:val="24"/>
        </w:rPr>
      </w:pPr>
    </w:p>
    <w:p w14:paraId="7CF17ED2">
      <w:pPr>
        <w:spacing w:line="440" w:lineRule="exact"/>
        <w:ind w:firstLine="480"/>
        <w:rPr>
          <w:rFonts w:ascii="宋体" w:hAnsi="宋体" w:cs="宋体"/>
          <w:sz w:val="24"/>
          <w:szCs w:val="24"/>
        </w:rPr>
      </w:pPr>
    </w:p>
    <w:p w14:paraId="1BE4190A">
      <w:pPr>
        <w:spacing w:line="440" w:lineRule="exact"/>
        <w:ind w:firstLine="480"/>
        <w:rPr>
          <w:rFonts w:ascii="宋体" w:hAnsi="宋体" w:cs="宋体"/>
          <w:sz w:val="24"/>
          <w:szCs w:val="24"/>
        </w:rPr>
      </w:pPr>
    </w:p>
    <w:p w14:paraId="08EE8ECE">
      <w:pPr>
        <w:spacing w:line="440" w:lineRule="exact"/>
        <w:ind w:firstLine="480"/>
        <w:rPr>
          <w:rFonts w:ascii="宋体" w:hAnsi="宋体" w:cs="宋体"/>
          <w:sz w:val="24"/>
          <w:szCs w:val="24"/>
        </w:rPr>
      </w:pPr>
    </w:p>
    <w:p w14:paraId="43414F9C">
      <w:pPr>
        <w:spacing w:line="440" w:lineRule="exact"/>
        <w:ind w:firstLine="480"/>
        <w:rPr>
          <w:rFonts w:ascii="宋体" w:hAnsi="宋体" w:cs="宋体"/>
          <w:sz w:val="24"/>
          <w:szCs w:val="24"/>
        </w:rPr>
      </w:pPr>
    </w:p>
    <w:p w14:paraId="548CA710">
      <w:pPr>
        <w:pStyle w:val="310"/>
        <w:outlineLvl w:val="1"/>
        <w:rPr>
          <w:rFonts w:ascii="宋体" w:hAnsi="宋体" w:eastAsia="宋体" w:cs="宋体"/>
        </w:rPr>
      </w:pPr>
      <w:bookmarkStart w:id="224" w:name="_Toc27399"/>
      <w:bookmarkStart w:id="225" w:name="_Toc120614284"/>
      <w:r>
        <w:rPr>
          <w:rFonts w:hint="eastAsia" w:ascii="宋体" w:hAnsi="宋体" w:eastAsia="宋体" w:cs="宋体"/>
          <w:iCs/>
          <w:szCs w:val="32"/>
        </w:rPr>
        <w:br w:type="page" w:clear="all"/>
      </w:r>
      <w:bookmarkStart w:id="226" w:name="_Toc26158"/>
      <w:bookmarkStart w:id="227" w:name="_Toc18405"/>
      <w:r>
        <w:rPr>
          <w:rFonts w:hint="eastAsia" w:ascii="宋体" w:hAnsi="宋体" w:eastAsia="宋体" w:cs="宋体"/>
          <w:b w:val="0"/>
          <w:iCs/>
          <w:szCs w:val="32"/>
        </w:rPr>
        <w:t>二、供应商基本信息</w:t>
      </w:r>
      <w:bookmarkEnd w:id="224"/>
      <w:bookmarkEnd w:id="226"/>
      <w:bookmarkEnd w:id="227"/>
    </w:p>
    <w:p w14:paraId="011797F1">
      <w:pPr>
        <w:pStyle w:val="311"/>
        <w:jc w:val="center"/>
        <w:rPr>
          <w:rFonts w:ascii="宋体" w:hAnsi="宋体" w:cs="宋体"/>
          <w:sz w:val="44"/>
          <w:szCs w:val="44"/>
        </w:rPr>
      </w:pPr>
      <w:r>
        <w:rPr>
          <w:rFonts w:hint="eastAsia" w:ascii="宋体" w:hAnsi="宋体" w:cs="宋体"/>
          <w:sz w:val="44"/>
          <w:szCs w:val="44"/>
        </w:rPr>
        <w:t>供应商基本情况表</w:t>
      </w:r>
    </w:p>
    <w:tbl>
      <w:tblPr>
        <w:tblStyle w:val="4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1905F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0B62923">
            <w:pPr>
              <w:pStyle w:val="311"/>
              <w:spacing w:line="600" w:lineRule="exact"/>
              <w:jc w:val="center"/>
              <w:rPr>
                <w:rFonts w:ascii="宋体" w:hAnsi="宋体" w:cs="宋体"/>
                <w:sz w:val="24"/>
                <w:szCs w:val="24"/>
              </w:rPr>
            </w:pPr>
            <w:r>
              <w:rPr>
                <w:rFonts w:hint="eastAsia" w:ascii="宋体" w:hAnsi="宋体" w:cs="宋体"/>
                <w:sz w:val="24"/>
                <w:szCs w:val="24"/>
              </w:rPr>
              <w:t>供应商名称</w:t>
            </w:r>
          </w:p>
        </w:tc>
        <w:tc>
          <w:tcPr>
            <w:tcW w:w="6998" w:type="dxa"/>
            <w:gridSpan w:val="3"/>
            <w:noWrap w:val="0"/>
            <w:vAlign w:val="center"/>
          </w:tcPr>
          <w:p w14:paraId="4071F32F">
            <w:pPr>
              <w:pStyle w:val="311"/>
              <w:spacing w:line="600" w:lineRule="exact"/>
              <w:jc w:val="center"/>
              <w:rPr>
                <w:rFonts w:ascii="宋体" w:hAnsi="宋体" w:cs="宋体"/>
                <w:sz w:val="24"/>
                <w:szCs w:val="24"/>
              </w:rPr>
            </w:pPr>
          </w:p>
        </w:tc>
      </w:tr>
      <w:tr w14:paraId="1AB25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30A94FA">
            <w:pPr>
              <w:pStyle w:val="311"/>
              <w:spacing w:line="600" w:lineRule="exact"/>
              <w:jc w:val="center"/>
              <w:rPr>
                <w:rFonts w:ascii="宋体" w:hAnsi="宋体" w:cs="宋体"/>
                <w:sz w:val="24"/>
                <w:szCs w:val="24"/>
              </w:rPr>
            </w:pPr>
            <w:r>
              <w:rPr>
                <w:rFonts w:hint="eastAsia" w:ascii="宋体" w:hAnsi="宋体" w:cs="宋体"/>
                <w:sz w:val="24"/>
                <w:szCs w:val="24"/>
              </w:rPr>
              <w:t>法定代表人</w:t>
            </w:r>
          </w:p>
        </w:tc>
        <w:tc>
          <w:tcPr>
            <w:tcW w:w="3118" w:type="dxa"/>
            <w:noWrap w:val="0"/>
            <w:vAlign w:val="center"/>
          </w:tcPr>
          <w:p w14:paraId="03BD8D86">
            <w:pPr>
              <w:pStyle w:val="311"/>
              <w:spacing w:line="600" w:lineRule="exact"/>
              <w:jc w:val="center"/>
              <w:rPr>
                <w:rFonts w:ascii="宋体" w:hAnsi="宋体" w:cs="宋体"/>
                <w:sz w:val="24"/>
                <w:szCs w:val="24"/>
              </w:rPr>
            </w:pPr>
          </w:p>
        </w:tc>
        <w:tc>
          <w:tcPr>
            <w:tcW w:w="1276" w:type="dxa"/>
            <w:noWrap w:val="0"/>
            <w:vAlign w:val="center"/>
          </w:tcPr>
          <w:p w14:paraId="63344182">
            <w:pPr>
              <w:pStyle w:val="311"/>
              <w:spacing w:line="600" w:lineRule="exact"/>
              <w:jc w:val="center"/>
              <w:rPr>
                <w:rFonts w:ascii="宋体" w:hAnsi="宋体" w:cs="宋体"/>
                <w:sz w:val="24"/>
                <w:szCs w:val="24"/>
              </w:rPr>
            </w:pPr>
            <w:r>
              <w:rPr>
                <w:rFonts w:hint="eastAsia" w:ascii="宋体" w:hAnsi="宋体" w:cs="宋体"/>
                <w:sz w:val="24"/>
                <w:szCs w:val="24"/>
              </w:rPr>
              <w:t>注册地区</w:t>
            </w:r>
          </w:p>
        </w:tc>
        <w:tc>
          <w:tcPr>
            <w:tcW w:w="2604" w:type="dxa"/>
            <w:noWrap w:val="0"/>
            <w:vAlign w:val="center"/>
          </w:tcPr>
          <w:p w14:paraId="6507A9EE">
            <w:pPr>
              <w:pStyle w:val="311"/>
              <w:spacing w:line="600" w:lineRule="exact"/>
              <w:jc w:val="center"/>
              <w:rPr>
                <w:rFonts w:ascii="宋体" w:hAnsi="宋体" w:cs="宋体"/>
                <w:sz w:val="24"/>
                <w:szCs w:val="24"/>
              </w:rPr>
            </w:pPr>
          </w:p>
        </w:tc>
      </w:tr>
      <w:tr w14:paraId="1C607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BF8655C">
            <w:pPr>
              <w:pStyle w:val="311"/>
              <w:spacing w:line="600" w:lineRule="exact"/>
              <w:jc w:val="center"/>
              <w:rPr>
                <w:rFonts w:ascii="宋体" w:hAnsi="宋体" w:cs="宋体"/>
                <w:sz w:val="24"/>
                <w:szCs w:val="24"/>
              </w:rPr>
            </w:pPr>
            <w:r>
              <w:rPr>
                <w:rFonts w:hint="eastAsia" w:ascii="宋体" w:hAnsi="宋体" w:cs="宋体"/>
                <w:sz w:val="24"/>
                <w:szCs w:val="24"/>
              </w:rPr>
              <w:t>地址</w:t>
            </w:r>
          </w:p>
        </w:tc>
        <w:tc>
          <w:tcPr>
            <w:tcW w:w="3118" w:type="dxa"/>
            <w:noWrap w:val="0"/>
            <w:vAlign w:val="center"/>
          </w:tcPr>
          <w:p w14:paraId="7F4468DA">
            <w:pPr>
              <w:pStyle w:val="311"/>
              <w:spacing w:line="600" w:lineRule="exact"/>
              <w:jc w:val="center"/>
              <w:rPr>
                <w:rFonts w:ascii="宋体" w:hAnsi="宋体" w:cs="宋体"/>
                <w:sz w:val="24"/>
                <w:szCs w:val="24"/>
              </w:rPr>
            </w:pPr>
          </w:p>
        </w:tc>
        <w:tc>
          <w:tcPr>
            <w:tcW w:w="1276" w:type="dxa"/>
            <w:noWrap w:val="0"/>
            <w:vAlign w:val="center"/>
          </w:tcPr>
          <w:p w14:paraId="0AAC5361">
            <w:pPr>
              <w:pStyle w:val="311"/>
              <w:spacing w:line="600" w:lineRule="exact"/>
              <w:jc w:val="center"/>
              <w:rPr>
                <w:rFonts w:ascii="宋体" w:hAnsi="宋体" w:cs="宋体"/>
                <w:sz w:val="24"/>
                <w:szCs w:val="24"/>
              </w:rPr>
            </w:pPr>
            <w:r>
              <w:rPr>
                <w:rFonts w:hint="eastAsia" w:ascii="宋体" w:hAnsi="宋体" w:cs="宋体"/>
                <w:sz w:val="24"/>
                <w:szCs w:val="24"/>
              </w:rPr>
              <w:t>邮政编码</w:t>
            </w:r>
          </w:p>
        </w:tc>
        <w:tc>
          <w:tcPr>
            <w:tcW w:w="2604" w:type="dxa"/>
            <w:noWrap w:val="0"/>
            <w:vAlign w:val="center"/>
          </w:tcPr>
          <w:p w14:paraId="30593649">
            <w:pPr>
              <w:pStyle w:val="311"/>
              <w:spacing w:line="600" w:lineRule="exact"/>
              <w:jc w:val="center"/>
              <w:rPr>
                <w:rFonts w:ascii="宋体" w:hAnsi="宋体" w:cs="宋体"/>
                <w:sz w:val="24"/>
                <w:szCs w:val="24"/>
              </w:rPr>
            </w:pPr>
          </w:p>
        </w:tc>
      </w:tr>
      <w:tr w14:paraId="46E68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C91A379">
            <w:pPr>
              <w:pStyle w:val="311"/>
              <w:spacing w:line="600" w:lineRule="exact"/>
              <w:jc w:val="center"/>
              <w:rPr>
                <w:rFonts w:ascii="宋体" w:hAnsi="宋体" w:cs="宋体"/>
                <w:sz w:val="24"/>
                <w:szCs w:val="24"/>
              </w:rPr>
            </w:pPr>
            <w:r>
              <w:rPr>
                <w:rFonts w:hint="eastAsia" w:ascii="宋体" w:hAnsi="宋体" w:cs="宋体"/>
                <w:sz w:val="24"/>
                <w:szCs w:val="24"/>
              </w:rPr>
              <w:t>成立时间</w:t>
            </w:r>
          </w:p>
        </w:tc>
        <w:tc>
          <w:tcPr>
            <w:tcW w:w="3118" w:type="dxa"/>
            <w:noWrap w:val="0"/>
            <w:vAlign w:val="center"/>
          </w:tcPr>
          <w:p w14:paraId="03F5B485">
            <w:pPr>
              <w:pStyle w:val="311"/>
              <w:spacing w:line="600" w:lineRule="exact"/>
              <w:jc w:val="center"/>
              <w:rPr>
                <w:rFonts w:ascii="宋体" w:hAnsi="宋体" w:cs="宋体"/>
                <w:sz w:val="24"/>
                <w:szCs w:val="24"/>
              </w:rPr>
            </w:pPr>
          </w:p>
        </w:tc>
        <w:tc>
          <w:tcPr>
            <w:tcW w:w="1276" w:type="dxa"/>
            <w:noWrap w:val="0"/>
            <w:vAlign w:val="center"/>
          </w:tcPr>
          <w:p w14:paraId="091EBD2D">
            <w:pPr>
              <w:pStyle w:val="311"/>
              <w:spacing w:line="600" w:lineRule="exact"/>
              <w:jc w:val="center"/>
              <w:rPr>
                <w:rFonts w:ascii="宋体" w:hAnsi="宋体" w:cs="宋体"/>
                <w:sz w:val="24"/>
                <w:szCs w:val="24"/>
              </w:rPr>
            </w:pPr>
            <w:r>
              <w:rPr>
                <w:rFonts w:hint="eastAsia" w:ascii="宋体" w:hAnsi="宋体" w:cs="宋体"/>
                <w:sz w:val="24"/>
                <w:szCs w:val="24"/>
              </w:rPr>
              <w:t>单位性质</w:t>
            </w:r>
          </w:p>
        </w:tc>
        <w:tc>
          <w:tcPr>
            <w:tcW w:w="2604" w:type="dxa"/>
            <w:noWrap w:val="0"/>
            <w:vAlign w:val="center"/>
          </w:tcPr>
          <w:p w14:paraId="6F164332">
            <w:pPr>
              <w:pStyle w:val="311"/>
              <w:spacing w:line="600" w:lineRule="exact"/>
              <w:jc w:val="center"/>
              <w:rPr>
                <w:rFonts w:ascii="宋体" w:hAnsi="宋体" w:cs="宋体"/>
                <w:sz w:val="24"/>
                <w:szCs w:val="24"/>
              </w:rPr>
            </w:pPr>
          </w:p>
        </w:tc>
      </w:tr>
      <w:tr w14:paraId="4CF32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687BB38">
            <w:pPr>
              <w:pStyle w:val="311"/>
              <w:spacing w:line="600" w:lineRule="exact"/>
              <w:jc w:val="center"/>
              <w:rPr>
                <w:rFonts w:ascii="宋体" w:hAnsi="宋体" w:cs="宋体"/>
                <w:sz w:val="24"/>
                <w:szCs w:val="24"/>
              </w:rPr>
            </w:pPr>
            <w:r>
              <w:rPr>
                <w:rFonts w:hint="eastAsia" w:ascii="宋体" w:hAnsi="宋体" w:cs="宋体"/>
                <w:sz w:val="24"/>
                <w:szCs w:val="24"/>
              </w:rPr>
              <w:t>注册号或社会信用代码</w:t>
            </w:r>
          </w:p>
        </w:tc>
        <w:tc>
          <w:tcPr>
            <w:tcW w:w="3118" w:type="dxa"/>
            <w:noWrap w:val="0"/>
            <w:vAlign w:val="center"/>
          </w:tcPr>
          <w:p w14:paraId="44140312">
            <w:pPr>
              <w:pStyle w:val="311"/>
              <w:spacing w:line="600" w:lineRule="exact"/>
              <w:jc w:val="center"/>
              <w:rPr>
                <w:rFonts w:ascii="宋体" w:hAnsi="宋体" w:cs="宋体"/>
                <w:sz w:val="24"/>
                <w:szCs w:val="24"/>
              </w:rPr>
            </w:pPr>
          </w:p>
        </w:tc>
        <w:tc>
          <w:tcPr>
            <w:tcW w:w="1276" w:type="dxa"/>
            <w:noWrap w:val="0"/>
            <w:vAlign w:val="center"/>
          </w:tcPr>
          <w:p w14:paraId="771DB0C6">
            <w:pPr>
              <w:pStyle w:val="311"/>
              <w:spacing w:line="600" w:lineRule="exact"/>
              <w:jc w:val="center"/>
              <w:rPr>
                <w:rFonts w:ascii="宋体" w:hAnsi="宋体" w:cs="宋体"/>
                <w:sz w:val="24"/>
                <w:szCs w:val="24"/>
              </w:rPr>
            </w:pPr>
            <w:r>
              <w:rPr>
                <w:rFonts w:hint="eastAsia" w:ascii="宋体" w:hAnsi="宋体" w:cs="宋体"/>
                <w:sz w:val="24"/>
                <w:szCs w:val="24"/>
              </w:rPr>
              <w:t>注册资本（万元）</w:t>
            </w:r>
          </w:p>
        </w:tc>
        <w:tc>
          <w:tcPr>
            <w:tcW w:w="2604" w:type="dxa"/>
            <w:noWrap w:val="0"/>
            <w:vAlign w:val="center"/>
          </w:tcPr>
          <w:p w14:paraId="1EAAC895">
            <w:pPr>
              <w:pStyle w:val="311"/>
              <w:spacing w:line="600" w:lineRule="exact"/>
              <w:jc w:val="center"/>
              <w:rPr>
                <w:rFonts w:ascii="宋体" w:hAnsi="宋体" w:cs="宋体"/>
                <w:sz w:val="24"/>
                <w:szCs w:val="24"/>
              </w:rPr>
            </w:pPr>
          </w:p>
        </w:tc>
      </w:tr>
      <w:tr w14:paraId="5CE0C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C68240C">
            <w:pPr>
              <w:pStyle w:val="311"/>
              <w:spacing w:line="600" w:lineRule="exact"/>
              <w:jc w:val="center"/>
              <w:rPr>
                <w:rFonts w:ascii="宋体" w:hAnsi="宋体" w:cs="宋体"/>
                <w:sz w:val="24"/>
                <w:szCs w:val="24"/>
              </w:rPr>
            </w:pPr>
            <w:r>
              <w:rPr>
                <w:rFonts w:hint="eastAsia" w:ascii="宋体" w:hAnsi="宋体" w:cs="宋体"/>
                <w:sz w:val="24"/>
                <w:szCs w:val="24"/>
              </w:rPr>
              <w:t>供应商类别</w:t>
            </w:r>
          </w:p>
        </w:tc>
        <w:tc>
          <w:tcPr>
            <w:tcW w:w="6998" w:type="dxa"/>
            <w:gridSpan w:val="3"/>
            <w:noWrap w:val="0"/>
            <w:vAlign w:val="center"/>
          </w:tcPr>
          <w:p w14:paraId="0B49F948">
            <w:pPr>
              <w:pStyle w:val="311"/>
              <w:spacing w:line="600" w:lineRule="exact"/>
              <w:jc w:val="center"/>
              <w:rPr>
                <w:rFonts w:ascii="宋体" w:hAnsi="宋体" w:cs="宋体"/>
                <w:sz w:val="24"/>
                <w:szCs w:val="24"/>
              </w:rPr>
            </w:pPr>
          </w:p>
        </w:tc>
      </w:tr>
      <w:tr w14:paraId="647B8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EC9A355">
            <w:pPr>
              <w:pStyle w:val="311"/>
              <w:spacing w:line="600" w:lineRule="exact"/>
              <w:jc w:val="center"/>
              <w:rPr>
                <w:rFonts w:ascii="宋体" w:hAnsi="宋体" w:cs="宋体"/>
                <w:sz w:val="24"/>
                <w:szCs w:val="24"/>
              </w:rPr>
            </w:pPr>
            <w:r>
              <w:rPr>
                <w:rFonts w:hint="eastAsia" w:ascii="宋体" w:hAnsi="宋体" w:cs="宋体"/>
                <w:sz w:val="24"/>
                <w:szCs w:val="24"/>
              </w:rPr>
              <w:t>开户银行</w:t>
            </w:r>
          </w:p>
        </w:tc>
        <w:tc>
          <w:tcPr>
            <w:tcW w:w="3118" w:type="dxa"/>
            <w:noWrap w:val="0"/>
            <w:vAlign w:val="center"/>
          </w:tcPr>
          <w:p w14:paraId="11BC9752">
            <w:pPr>
              <w:pStyle w:val="311"/>
              <w:spacing w:line="600" w:lineRule="exact"/>
              <w:jc w:val="center"/>
              <w:rPr>
                <w:rFonts w:ascii="宋体" w:hAnsi="宋体" w:cs="宋体"/>
                <w:sz w:val="24"/>
                <w:szCs w:val="24"/>
              </w:rPr>
            </w:pPr>
          </w:p>
        </w:tc>
        <w:tc>
          <w:tcPr>
            <w:tcW w:w="1276" w:type="dxa"/>
            <w:noWrap w:val="0"/>
            <w:vAlign w:val="center"/>
          </w:tcPr>
          <w:p w14:paraId="0CC9060E">
            <w:pPr>
              <w:pStyle w:val="311"/>
              <w:spacing w:line="600" w:lineRule="exact"/>
              <w:jc w:val="center"/>
              <w:rPr>
                <w:rFonts w:ascii="宋体" w:hAnsi="宋体" w:cs="宋体"/>
                <w:sz w:val="24"/>
                <w:szCs w:val="24"/>
              </w:rPr>
            </w:pPr>
            <w:r>
              <w:rPr>
                <w:rFonts w:hint="eastAsia" w:ascii="宋体" w:hAnsi="宋体" w:cs="宋体"/>
                <w:sz w:val="24"/>
                <w:szCs w:val="24"/>
              </w:rPr>
              <w:t>账号</w:t>
            </w:r>
          </w:p>
        </w:tc>
        <w:tc>
          <w:tcPr>
            <w:tcW w:w="2604" w:type="dxa"/>
            <w:noWrap w:val="0"/>
            <w:vAlign w:val="center"/>
          </w:tcPr>
          <w:p w14:paraId="22F24079">
            <w:pPr>
              <w:pStyle w:val="311"/>
              <w:spacing w:line="600" w:lineRule="exact"/>
              <w:jc w:val="center"/>
              <w:rPr>
                <w:rFonts w:ascii="宋体" w:hAnsi="宋体" w:cs="宋体"/>
                <w:sz w:val="24"/>
                <w:szCs w:val="24"/>
              </w:rPr>
            </w:pPr>
          </w:p>
        </w:tc>
      </w:tr>
      <w:tr w14:paraId="25CC4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B201637">
            <w:pPr>
              <w:pStyle w:val="311"/>
              <w:spacing w:line="600" w:lineRule="exact"/>
              <w:jc w:val="center"/>
              <w:rPr>
                <w:rFonts w:ascii="宋体" w:hAnsi="宋体" w:cs="宋体"/>
                <w:sz w:val="24"/>
                <w:szCs w:val="24"/>
              </w:rPr>
            </w:pPr>
            <w:r>
              <w:rPr>
                <w:rFonts w:hint="eastAsia" w:ascii="宋体" w:hAnsi="宋体" w:cs="宋体"/>
                <w:sz w:val="24"/>
                <w:szCs w:val="24"/>
              </w:rPr>
              <w:t>联系人</w:t>
            </w:r>
          </w:p>
        </w:tc>
        <w:tc>
          <w:tcPr>
            <w:tcW w:w="3118" w:type="dxa"/>
            <w:noWrap w:val="0"/>
            <w:vAlign w:val="center"/>
          </w:tcPr>
          <w:p w14:paraId="6BC822C0">
            <w:pPr>
              <w:pStyle w:val="311"/>
              <w:spacing w:line="600" w:lineRule="exact"/>
              <w:jc w:val="center"/>
              <w:rPr>
                <w:rFonts w:ascii="宋体" w:hAnsi="宋体" w:cs="宋体"/>
                <w:sz w:val="24"/>
                <w:szCs w:val="24"/>
              </w:rPr>
            </w:pPr>
          </w:p>
        </w:tc>
        <w:tc>
          <w:tcPr>
            <w:tcW w:w="1276" w:type="dxa"/>
            <w:noWrap w:val="0"/>
            <w:vAlign w:val="center"/>
          </w:tcPr>
          <w:p w14:paraId="0A1D91D7">
            <w:pPr>
              <w:pStyle w:val="311"/>
              <w:spacing w:line="600" w:lineRule="exact"/>
              <w:jc w:val="center"/>
              <w:rPr>
                <w:rFonts w:ascii="宋体" w:hAnsi="宋体" w:cs="宋体"/>
                <w:sz w:val="24"/>
                <w:szCs w:val="24"/>
              </w:rPr>
            </w:pPr>
            <w:r>
              <w:rPr>
                <w:rFonts w:hint="eastAsia" w:ascii="宋体" w:hAnsi="宋体" w:cs="宋体"/>
                <w:sz w:val="24"/>
                <w:szCs w:val="24"/>
              </w:rPr>
              <w:t>联系电话</w:t>
            </w:r>
          </w:p>
        </w:tc>
        <w:tc>
          <w:tcPr>
            <w:tcW w:w="2604" w:type="dxa"/>
            <w:noWrap w:val="0"/>
            <w:vAlign w:val="center"/>
          </w:tcPr>
          <w:p w14:paraId="4A6EEF62">
            <w:pPr>
              <w:pStyle w:val="311"/>
              <w:spacing w:line="600" w:lineRule="exact"/>
              <w:jc w:val="center"/>
              <w:rPr>
                <w:rFonts w:ascii="宋体" w:hAnsi="宋体" w:cs="宋体"/>
                <w:sz w:val="24"/>
                <w:szCs w:val="24"/>
              </w:rPr>
            </w:pPr>
          </w:p>
        </w:tc>
      </w:tr>
      <w:tr w14:paraId="44234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0DEF655E">
            <w:pPr>
              <w:pStyle w:val="311"/>
              <w:spacing w:line="560" w:lineRule="exact"/>
              <w:jc w:val="center"/>
              <w:rPr>
                <w:rFonts w:ascii="宋体" w:hAnsi="宋体" w:cs="宋体"/>
                <w:sz w:val="24"/>
                <w:szCs w:val="24"/>
              </w:rPr>
            </w:pPr>
            <w:r>
              <w:rPr>
                <w:rFonts w:hint="eastAsia" w:ascii="宋体" w:hAnsi="宋体" w:cs="宋体"/>
                <w:sz w:val="24"/>
                <w:szCs w:val="24"/>
              </w:rPr>
              <w:t>经营范围</w:t>
            </w:r>
          </w:p>
        </w:tc>
        <w:tc>
          <w:tcPr>
            <w:tcW w:w="6998" w:type="dxa"/>
            <w:gridSpan w:val="3"/>
            <w:noWrap w:val="0"/>
          </w:tcPr>
          <w:p w14:paraId="7A95AB8A">
            <w:pPr>
              <w:pStyle w:val="311"/>
              <w:spacing w:line="560" w:lineRule="exact"/>
              <w:ind w:firstLine="1433"/>
              <w:rPr>
                <w:rFonts w:ascii="宋体" w:hAnsi="宋体" w:cs="宋体"/>
                <w:sz w:val="24"/>
                <w:szCs w:val="24"/>
              </w:rPr>
            </w:pPr>
          </w:p>
        </w:tc>
      </w:tr>
      <w:tr w14:paraId="11A7E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034C9E47">
            <w:pPr>
              <w:pStyle w:val="311"/>
              <w:spacing w:line="560" w:lineRule="exact"/>
              <w:jc w:val="center"/>
              <w:rPr>
                <w:rFonts w:ascii="宋体" w:hAnsi="宋体" w:cs="宋体"/>
                <w:sz w:val="24"/>
                <w:szCs w:val="24"/>
              </w:rPr>
            </w:pPr>
            <w:r>
              <w:rPr>
                <w:rFonts w:hint="eastAsia" w:ascii="宋体" w:hAnsi="宋体" w:cs="宋体"/>
                <w:sz w:val="24"/>
                <w:szCs w:val="24"/>
              </w:rPr>
              <w:t>备注</w:t>
            </w:r>
          </w:p>
        </w:tc>
        <w:tc>
          <w:tcPr>
            <w:tcW w:w="6998" w:type="dxa"/>
            <w:gridSpan w:val="3"/>
            <w:noWrap w:val="0"/>
            <w:vAlign w:val="center"/>
          </w:tcPr>
          <w:p w14:paraId="3CB4F640">
            <w:pPr>
              <w:pStyle w:val="311"/>
              <w:spacing w:line="500" w:lineRule="exact"/>
              <w:jc w:val="center"/>
              <w:rPr>
                <w:rFonts w:ascii="宋体" w:hAnsi="宋体" w:cs="宋体"/>
                <w:sz w:val="24"/>
                <w:szCs w:val="24"/>
              </w:rPr>
            </w:pPr>
            <w:r>
              <w:rPr>
                <w:rFonts w:hint="eastAsia" w:ascii="宋体" w:hAnsi="宋体" w:cs="宋体"/>
                <w:sz w:val="24"/>
                <w:szCs w:val="24"/>
              </w:rPr>
              <w:t>无需提供营业执照等资料，填表即可</w:t>
            </w:r>
          </w:p>
        </w:tc>
      </w:tr>
    </w:tbl>
    <w:p w14:paraId="41BE9353">
      <w:pPr>
        <w:outlineLvl w:val="1"/>
        <w:rPr>
          <w:rFonts w:ascii="宋体" w:hAnsi="宋体" w:cs="宋体"/>
          <w:i/>
          <w:sz w:val="32"/>
          <w:szCs w:val="32"/>
          <w:u w:val="single"/>
        </w:rPr>
      </w:pPr>
      <w:r>
        <w:rPr>
          <w:rFonts w:hint="eastAsia" w:ascii="宋体" w:hAnsi="宋体" w:cs="宋体"/>
          <w:iCs/>
          <w:sz w:val="32"/>
          <w:szCs w:val="32"/>
        </w:rPr>
        <w:br w:type="page" w:clear="all"/>
      </w:r>
      <w:bookmarkStart w:id="228" w:name="_Toc27444"/>
      <w:bookmarkStart w:id="229" w:name="_Toc23029"/>
      <w:r>
        <w:rPr>
          <w:rFonts w:hint="eastAsia" w:ascii="宋体" w:hAnsi="宋体" w:cs="宋体"/>
          <w:iCs/>
          <w:sz w:val="32"/>
          <w:szCs w:val="32"/>
        </w:rPr>
        <w:t>三、特定资格要求的证明文件</w:t>
      </w:r>
      <w:bookmarkEnd w:id="228"/>
      <w:bookmarkEnd w:id="229"/>
    </w:p>
    <w:p w14:paraId="40302AB2">
      <w:pPr>
        <w:spacing w:line="460" w:lineRule="exact"/>
        <w:rPr>
          <w:rFonts w:ascii="宋体" w:hAnsi="宋体" w:cs="宋体"/>
          <w:bCs/>
          <w:sz w:val="24"/>
        </w:rPr>
      </w:pPr>
      <w:r>
        <w:rPr>
          <w:rFonts w:hint="eastAsia" w:ascii="宋体" w:hAnsi="宋体" w:cs="宋体"/>
          <w:sz w:val="24"/>
        </w:rPr>
        <w:t xml:space="preserve">    如果本项目申请人的特定资格要求中要求提供的，则必须提供。没有空白即可。</w:t>
      </w:r>
    </w:p>
    <w:p w14:paraId="38470F87">
      <w:pPr>
        <w:outlineLvl w:val="1"/>
        <w:rPr>
          <w:rFonts w:ascii="宋体" w:hAnsi="宋体" w:cs="宋体"/>
          <w:iCs/>
          <w:sz w:val="32"/>
          <w:szCs w:val="32"/>
        </w:rPr>
      </w:pPr>
      <w:r>
        <w:rPr>
          <w:rFonts w:hint="eastAsia" w:ascii="宋体" w:hAnsi="宋体" w:cs="宋体"/>
          <w:iCs/>
          <w:sz w:val="32"/>
          <w:szCs w:val="32"/>
        </w:rPr>
        <w:br w:type="page" w:clear="all"/>
      </w:r>
      <w:bookmarkStart w:id="230" w:name="_Toc9647"/>
      <w:bookmarkStart w:id="231" w:name="_Toc12370"/>
      <w:r>
        <w:rPr>
          <w:rFonts w:hint="eastAsia" w:ascii="宋体" w:hAnsi="宋体" w:cs="宋体"/>
          <w:iCs/>
          <w:sz w:val="32"/>
          <w:szCs w:val="32"/>
        </w:rPr>
        <w:t>四、法人授权书</w:t>
      </w:r>
      <w:bookmarkEnd w:id="230"/>
      <w:bookmarkEnd w:id="231"/>
    </w:p>
    <w:p w14:paraId="4ECE271F">
      <w:pPr>
        <w:tabs>
          <w:tab w:val="left" w:pos="360"/>
        </w:tabs>
        <w:ind w:firstLine="480"/>
        <w:rPr>
          <w:rFonts w:ascii="宋体" w:hAnsi="宋体" w:cs="宋体"/>
          <w:sz w:val="24"/>
          <w:szCs w:val="24"/>
        </w:rPr>
      </w:pPr>
      <w:r>
        <w:rPr>
          <w:rFonts w:hint="eastAsia" w:ascii="宋体" w:hAnsi="宋体" w:cs="宋体"/>
          <w:sz w:val="24"/>
          <w:szCs w:val="24"/>
        </w:rPr>
        <w:t>本授权书声明：____________（供应商名称）授权________________（被授权人的姓名）为我方就</w:t>
      </w:r>
      <w:r>
        <w:rPr>
          <w:rFonts w:hint="eastAsia" w:ascii="宋体" w:hAnsi="宋体" w:cs="宋体"/>
          <w:sz w:val="24"/>
          <w:szCs w:val="24"/>
          <w:u w:val="single"/>
        </w:rPr>
        <w:t xml:space="preserve">        </w:t>
      </w:r>
      <w:r>
        <w:rPr>
          <w:rFonts w:hint="eastAsia" w:ascii="宋体" w:hAnsi="宋体" w:cs="宋体"/>
          <w:sz w:val="24"/>
          <w:szCs w:val="24"/>
        </w:rPr>
        <w:t>号项目采购活动的合法代理人，以本单位名义全权处理一切与该项目采购有关的事务。</w:t>
      </w:r>
    </w:p>
    <w:p w14:paraId="5DCDEB20">
      <w:pPr>
        <w:tabs>
          <w:tab w:val="left" w:pos="360"/>
        </w:tabs>
        <w:ind w:firstLine="480"/>
        <w:rPr>
          <w:rFonts w:ascii="宋体" w:hAnsi="宋体" w:cs="宋体"/>
          <w:sz w:val="24"/>
          <w:szCs w:val="24"/>
        </w:rPr>
      </w:pPr>
      <w:r>
        <w:rPr>
          <w:rFonts w:hint="eastAsia" w:ascii="宋体" w:hAnsi="宋体" w:cs="宋体"/>
          <w:sz w:val="24"/>
          <w:szCs w:val="24"/>
        </w:rPr>
        <w:t>本授权书于______年____月____日起生效，特此声明。</w:t>
      </w:r>
    </w:p>
    <w:p w14:paraId="4E0183A4">
      <w:pPr>
        <w:tabs>
          <w:tab w:val="left" w:pos="360"/>
        </w:tabs>
        <w:rPr>
          <w:rFonts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p>
    <w:p w14:paraId="1638163A">
      <w:pPr>
        <w:tabs>
          <w:tab w:val="left" w:pos="360"/>
        </w:tabs>
        <w:rPr>
          <w:rFonts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p>
    <w:p w14:paraId="5C6FAC32">
      <w:pPr>
        <w:tabs>
          <w:tab w:val="left" w:pos="360"/>
        </w:tabs>
        <w:ind w:firstLine="1200"/>
        <w:rPr>
          <w:rFonts w:ascii="宋体" w:hAnsi="宋体" w:cs="宋体"/>
          <w:sz w:val="24"/>
          <w:szCs w:val="24"/>
        </w:rPr>
      </w:pPr>
      <w:r>
        <w:rPr>
          <w:rFonts w:hint="eastAsia" w:ascii="宋体" w:hAnsi="宋体" w:cs="宋体"/>
          <w:sz w:val="24"/>
          <w:szCs w:val="24"/>
        </w:rPr>
        <w:t>授权单位名称：</w:t>
      </w:r>
      <w:r>
        <w:rPr>
          <w:rFonts w:hint="eastAsia" w:ascii="宋体" w:hAnsi="宋体" w:cs="宋体"/>
          <w:sz w:val="24"/>
          <w:szCs w:val="24"/>
          <w:u w:val="single"/>
        </w:rPr>
        <w:t>（加盖CA电子公章）</w:t>
      </w:r>
    </w:p>
    <w:p w14:paraId="5E31F1A3">
      <w:pPr>
        <w:tabs>
          <w:tab w:val="left" w:pos="360"/>
        </w:tabs>
        <w:ind w:firstLine="480"/>
        <w:rPr>
          <w:rFonts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p>
    <w:p w14:paraId="12FCBFB1">
      <w:pPr>
        <w:tabs>
          <w:tab w:val="left" w:pos="360"/>
        </w:tabs>
        <w:ind w:firstLine="480"/>
        <w:rPr>
          <w:rFonts w:ascii="宋体" w:hAnsi="宋体" w:cs="宋体"/>
          <w:sz w:val="24"/>
          <w:szCs w:val="24"/>
          <w:u w:val="single"/>
        </w:rPr>
      </w:pPr>
      <w:r>
        <w:rPr>
          <w:rFonts w:hint="eastAsia" w:ascii="宋体" w:hAnsi="宋体" w:cs="宋体"/>
          <w:sz w:val="24"/>
          <w:szCs w:val="24"/>
        </w:rPr>
        <w:t xml:space="preserve">      日期：</w:t>
      </w:r>
      <w:bookmarkStart w:id="232" w:name="_格式3__银行出具的资信证明"/>
      <w:bookmarkEnd w:id="232"/>
      <w:bookmarkStart w:id="233" w:name="_Hlt26955070"/>
      <w:bookmarkEnd w:id="233"/>
      <w:bookmarkStart w:id="234" w:name="_Hlt26671380"/>
      <w:bookmarkEnd w:id="234"/>
      <w:r>
        <w:rPr>
          <w:rFonts w:hint="eastAsia" w:ascii="宋体" w:hAnsi="宋体" w:cs="宋体"/>
          <w:sz w:val="24"/>
          <w:szCs w:val="24"/>
          <w:u w:val="single"/>
        </w:rPr>
        <w:t xml:space="preserve">                                         </w:t>
      </w:r>
    </w:p>
    <w:p w14:paraId="15E5B1BA">
      <w:pPr>
        <w:spacing w:line="460" w:lineRule="exact"/>
        <w:rPr>
          <w:rFonts w:ascii="宋体" w:hAnsi="宋体" w:cs="宋体"/>
          <w:bCs/>
          <w:sz w:val="24"/>
          <w:szCs w:val="21"/>
        </w:rPr>
      </w:pPr>
    </w:p>
    <w:p w14:paraId="14169778">
      <w:pPr>
        <w:tabs>
          <w:tab w:val="left" w:pos="360"/>
        </w:tabs>
        <w:ind w:firstLine="480"/>
        <w:rPr>
          <w:rFonts w:ascii="宋体" w:hAnsi="宋体" w:cs="宋体"/>
          <w:sz w:val="24"/>
          <w:szCs w:val="24"/>
          <w:u w:val="single"/>
        </w:rPr>
      </w:pPr>
    </w:p>
    <w:p w14:paraId="224721BE">
      <w:pPr>
        <w:tabs>
          <w:tab w:val="left" w:pos="360"/>
        </w:tabs>
        <w:ind w:firstLine="480"/>
        <w:rPr>
          <w:rFonts w:ascii="宋体" w:hAnsi="宋体" w:cs="宋体"/>
          <w:sz w:val="24"/>
          <w:szCs w:val="24"/>
        </w:rPr>
      </w:pPr>
    </w:p>
    <w:p w14:paraId="2E58B430">
      <w:pPr>
        <w:ind w:firstLine="420"/>
        <w:rPr>
          <w:rFonts w:ascii="宋体" w:hAnsi="宋体" w:cs="宋体"/>
          <w:i/>
          <w:sz w:val="24"/>
          <w:szCs w:val="24"/>
          <w:u w:val="single"/>
        </w:rPr>
      </w:pPr>
    </w:p>
    <w:p w14:paraId="6673F4C4">
      <w:pPr>
        <w:rPr>
          <w:rFonts w:ascii="宋体" w:hAnsi="宋体" w:cs="宋体"/>
          <w:szCs w:val="21"/>
        </w:rPr>
      </w:pPr>
    </w:p>
    <w:p w14:paraId="07B931AD">
      <w:pPr>
        <w:spacing w:line="560" w:lineRule="exact"/>
        <w:rPr>
          <w:rFonts w:ascii="宋体" w:hAnsi="宋体" w:cs="宋体"/>
          <w:b/>
          <w:sz w:val="32"/>
          <w:szCs w:val="32"/>
        </w:rPr>
      </w:pPr>
    </w:p>
    <w:p w14:paraId="7C4B6FCE">
      <w:pPr>
        <w:spacing w:line="560" w:lineRule="exact"/>
        <w:jc w:val="left"/>
        <w:outlineLvl w:val="1"/>
        <w:rPr>
          <w:rFonts w:ascii="宋体" w:hAnsi="宋体" w:cs="宋体"/>
          <w:iCs/>
          <w:sz w:val="32"/>
          <w:szCs w:val="32"/>
        </w:rPr>
      </w:pPr>
      <w:r>
        <w:rPr>
          <w:rFonts w:hint="eastAsia" w:ascii="宋体" w:hAnsi="宋体" w:cs="宋体"/>
          <w:iCs/>
          <w:sz w:val="32"/>
          <w:szCs w:val="32"/>
        </w:rPr>
        <w:br w:type="page" w:clear="all"/>
      </w:r>
      <w:bookmarkStart w:id="235" w:name="_Toc32204"/>
      <w:bookmarkStart w:id="236" w:name="_Toc24960"/>
      <w:r>
        <w:rPr>
          <w:rFonts w:hint="eastAsia" w:ascii="宋体" w:hAnsi="宋体" w:cs="宋体"/>
          <w:iCs/>
          <w:sz w:val="32"/>
          <w:szCs w:val="32"/>
        </w:rPr>
        <w:t>五、中小（微）企业声明函（服务）</w:t>
      </w:r>
      <w:bookmarkEnd w:id="235"/>
      <w:bookmarkEnd w:id="236"/>
    </w:p>
    <w:p w14:paraId="51067D31">
      <w:pPr>
        <w:spacing w:line="560" w:lineRule="exact"/>
        <w:ind w:firstLine="360"/>
        <w:rPr>
          <w:rFonts w:ascii="宋体" w:hAnsi="宋体" w:cs="宋体"/>
          <w:sz w:val="24"/>
          <w:szCs w:val="24"/>
        </w:rPr>
      </w:pPr>
      <w:r>
        <w:rPr>
          <w:rFonts w:hint="eastAsia" w:ascii="宋体" w:hAnsi="宋体" w:cs="宋体"/>
          <w:sz w:val="24"/>
          <w:szCs w:val="24"/>
        </w:rPr>
        <w:t>本公司（联合体）郑重声明，根据《政府采购促进中小企业发展管理办法》(财库[2020]46号)的规定，本公司（联合体）参加</w:t>
      </w:r>
      <w:r>
        <w:rPr>
          <w:rFonts w:hint="eastAsia" w:ascii="宋体" w:hAnsi="宋体" w:cs="宋体"/>
          <w:sz w:val="24"/>
          <w:szCs w:val="24"/>
          <w:u w:val="single"/>
        </w:rPr>
        <w:t>（单位名称）</w:t>
      </w:r>
      <w:r>
        <w:rPr>
          <w:rFonts w:hint="eastAsia" w:ascii="宋体" w:hAnsi="宋体" w:cs="宋体"/>
          <w:sz w:val="24"/>
          <w:szCs w:val="24"/>
        </w:rPr>
        <w:t>采购编号为</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u w:val="single"/>
        </w:rPr>
        <w:t>（项目名称）    （分包号：        ）</w:t>
      </w:r>
      <w:r>
        <w:rPr>
          <w:rFonts w:hint="eastAsia" w:ascii="宋体" w:hAnsi="宋体" w:cs="宋体"/>
          <w:sz w:val="24"/>
          <w:szCs w:val="24"/>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8A725B3">
      <w:pPr>
        <w:spacing w:line="560" w:lineRule="exact"/>
        <w:ind w:firstLine="360"/>
        <w:rPr>
          <w:rFonts w:ascii="宋体" w:hAnsi="宋体" w:cs="宋体"/>
          <w:i/>
          <w:sz w:val="24"/>
          <w:szCs w:val="24"/>
          <w:u w:val="single"/>
        </w:rPr>
      </w:pPr>
      <w:r>
        <w:rPr>
          <w:rFonts w:hint="eastAsia" w:ascii="宋体" w:hAnsi="宋体" w:cs="宋体"/>
          <w:sz w:val="24"/>
          <w:szCs w:val="24"/>
        </w:rPr>
        <w:t>1.</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rPr>
        <w:t>行业；承接企业为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w:t>
      </w:r>
      <w:r>
        <w:rPr>
          <w:rFonts w:hint="eastAsia" w:ascii="宋体" w:hAnsi="宋体" w:cs="宋体"/>
          <w:sz w:val="24"/>
          <w:szCs w:val="24"/>
          <w:vertAlign w:val="superscript"/>
        </w:rPr>
        <w:t>1</w:t>
      </w:r>
      <w:r>
        <w:rPr>
          <w:rFonts w:hint="eastAsia" w:ascii="宋体" w:hAnsi="宋体" w:cs="宋体"/>
          <w:sz w:val="24"/>
          <w:szCs w:val="24"/>
        </w:rPr>
        <w:t>，属于</w:t>
      </w:r>
      <w:r>
        <w:rPr>
          <w:rFonts w:hint="eastAsia" w:ascii="宋体" w:hAnsi="宋体" w:cs="宋体"/>
          <w:sz w:val="24"/>
          <w:szCs w:val="24"/>
          <w:u w:val="single"/>
        </w:rPr>
        <w:t>（小型企业、微型企业）；</w:t>
      </w:r>
    </w:p>
    <w:p w14:paraId="38E824A9">
      <w:pPr>
        <w:spacing w:line="560" w:lineRule="exact"/>
        <w:ind w:firstLine="360"/>
        <w:rPr>
          <w:rFonts w:ascii="宋体" w:hAnsi="宋体" w:cs="宋体"/>
          <w:i/>
          <w:sz w:val="24"/>
          <w:szCs w:val="24"/>
          <w:u w:val="single"/>
        </w:rPr>
      </w:pPr>
      <w:r>
        <w:rPr>
          <w:rFonts w:hint="eastAsia" w:ascii="宋体" w:hAnsi="宋体" w:cs="宋体"/>
          <w:sz w:val="24"/>
          <w:szCs w:val="24"/>
        </w:rPr>
        <w:t>2.</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rPr>
        <w:t>行业；承接企业为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w:t>
      </w:r>
      <w:r>
        <w:rPr>
          <w:rFonts w:hint="eastAsia" w:ascii="宋体" w:hAnsi="宋体" w:cs="宋体"/>
          <w:sz w:val="24"/>
          <w:szCs w:val="24"/>
          <w:vertAlign w:val="superscript"/>
        </w:rPr>
        <w:t>1</w:t>
      </w:r>
      <w:r>
        <w:rPr>
          <w:rFonts w:hint="eastAsia" w:ascii="宋体" w:hAnsi="宋体" w:cs="宋体"/>
          <w:sz w:val="24"/>
          <w:szCs w:val="24"/>
        </w:rPr>
        <w:t>，属于</w:t>
      </w:r>
      <w:r>
        <w:rPr>
          <w:rFonts w:hint="eastAsia" w:ascii="宋体" w:hAnsi="宋体" w:cs="宋体"/>
          <w:sz w:val="24"/>
          <w:szCs w:val="24"/>
          <w:u w:val="single"/>
        </w:rPr>
        <w:t>（小型企业、微型企业）；</w:t>
      </w:r>
    </w:p>
    <w:p w14:paraId="44DF57E2">
      <w:pPr>
        <w:spacing w:line="560" w:lineRule="exact"/>
        <w:ind w:firstLine="360"/>
        <w:rPr>
          <w:rFonts w:ascii="宋体" w:hAnsi="宋体" w:cs="宋体"/>
          <w:sz w:val="24"/>
          <w:szCs w:val="24"/>
        </w:rPr>
      </w:pPr>
      <w:r>
        <w:rPr>
          <w:rFonts w:hint="eastAsia" w:ascii="宋体" w:hAnsi="宋体" w:cs="宋体"/>
          <w:sz w:val="24"/>
          <w:szCs w:val="24"/>
        </w:rPr>
        <w:t>……</w:t>
      </w:r>
    </w:p>
    <w:p w14:paraId="2B460B43">
      <w:pPr>
        <w:spacing w:line="560" w:lineRule="exact"/>
        <w:ind w:firstLine="36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49C5976E">
      <w:pPr>
        <w:spacing w:line="560" w:lineRule="exact"/>
        <w:ind w:firstLine="36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534C37F9">
      <w:pPr>
        <w:spacing w:line="560" w:lineRule="exact"/>
        <w:ind w:right="720"/>
        <w:rPr>
          <w:rFonts w:ascii="宋体" w:hAnsi="宋体" w:cs="宋体"/>
          <w:sz w:val="24"/>
          <w:szCs w:val="24"/>
        </w:rPr>
      </w:pPr>
    </w:p>
    <w:p w14:paraId="6667FD52">
      <w:pPr>
        <w:spacing w:line="560" w:lineRule="exact"/>
        <w:ind w:right="180" w:firstLine="360"/>
        <w:jc w:val="right"/>
        <w:rPr>
          <w:rFonts w:ascii="宋体" w:hAnsi="宋体" w:cs="宋体"/>
          <w:sz w:val="24"/>
          <w:szCs w:val="24"/>
        </w:rPr>
      </w:pPr>
      <w:r>
        <w:rPr>
          <w:rFonts w:hint="eastAsia" w:ascii="宋体" w:hAnsi="宋体" w:cs="宋体"/>
          <w:sz w:val="24"/>
          <w:szCs w:val="24"/>
        </w:rPr>
        <w:t>企业名称（加盖CA电子公章）：</w:t>
      </w:r>
    </w:p>
    <w:p w14:paraId="4EEDDF6B">
      <w:pPr>
        <w:spacing w:line="560" w:lineRule="exact"/>
        <w:ind w:right="480" w:firstLine="5400"/>
        <w:rPr>
          <w:rFonts w:ascii="宋体" w:hAnsi="宋体" w:cs="宋体"/>
          <w:sz w:val="24"/>
          <w:szCs w:val="24"/>
        </w:rPr>
      </w:pPr>
      <w:r>
        <w:rPr>
          <w:rFonts w:hint="eastAsia" w:ascii="宋体" w:hAnsi="宋体" w:cs="宋体"/>
          <w:sz w:val="24"/>
          <w:szCs w:val="24"/>
        </w:rPr>
        <w:t>日  期：</w:t>
      </w:r>
    </w:p>
    <w:p w14:paraId="362AE095">
      <w:pPr>
        <w:spacing w:line="560" w:lineRule="exact"/>
        <w:ind w:firstLine="240"/>
        <w:rPr>
          <w:rFonts w:ascii="宋体" w:hAnsi="宋体" w:cs="宋体"/>
          <w:sz w:val="24"/>
          <w:szCs w:val="24"/>
        </w:rPr>
      </w:pPr>
    </w:p>
    <w:p w14:paraId="06C67100">
      <w:pPr>
        <w:spacing w:line="560" w:lineRule="exact"/>
        <w:ind w:firstLine="480"/>
        <w:rPr>
          <w:rFonts w:ascii="宋体" w:hAnsi="宋体" w:cs="宋体"/>
          <w:sz w:val="24"/>
          <w:szCs w:val="24"/>
        </w:rPr>
      </w:pPr>
      <w:r>
        <w:rPr>
          <w:rFonts w:hint="eastAsia" w:ascii="宋体" w:hAnsi="宋体" w:cs="宋体"/>
          <w:sz w:val="24"/>
          <w:szCs w:val="24"/>
        </w:rPr>
        <w:t>备注1：从业人员、营业收入、资产总额填报上一年度数据，无上一年度数据的新成立企业可不填报。</w:t>
      </w:r>
    </w:p>
    <w:p w14:paraId="3DF144D7">
      <w:pPr>
        <w:spacing w:line="560" w:lineRule="exact"/>
        <w:ind w:firstLine="480"/>
        <w:rPr>
          <w:rFonts w:ascii="宋体" w:hAnsi="宋体" w:cs="宋体"/>
          <w:sz w:val="24"/>
          <w:szCs w:val="24"/>
        </w:rPr>
      </w:pPr>
      <w:r>
        <w:rPr>
          <w:rFonts w:hint="eastAsia" w:ascii="宋体" w:hAnsi="宋体" w:cs="宋体"/>
          <w:sz w:val="24"/>
          <w:szCs w:val="24"/>
        </w:rPr>
        <w:t>备注2：供应商如不提供此声明函，价格将不做相应扣除。</w:t>
      </w:r>
    </w:p>
    <w:p w14:paraId="28437699">
      <w:pPr>
        <w:spacing w:line="460" w:lineRule="exact"/>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残疾人福利性单位声明函</w:t>
      </w:r>
    </w:p>
    <w:p w14:paraId="285D4057">
      <w:pPr>
        <w:spacing w:line="588" w:lineRule="exact"/>
        <w:ind w:firstLine="480"/>
        <w:rPr>
          <w:rFonts w:ascii="宋体" w:hAnsi="宋体" w:cs="宋体"/>
          <w:sz w:val="24"/>
          <w:szCs w:val="21"/>
        </w:rPr>
      </w:pPr>
      <w:r>
        <w:rPr>
          <w:rFonts w:hint="eastAsia" w:ascii="宋体" w:hAnsi="宋体" w:cs="宋体"/>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项目（分包号：</w:t>
      </w:r>
      <w:r>
        <w:rPr>
          <w:rFonts w:hint="eastAsia" w:ascii="宋体" w:hAnsi="宋体" w:cs="宋体"/>
          <w:sz w:val="24"/>
          <w:szCs w:val="21"/>
          <w:u w:val="single"/>
        </w:rPr>
        <w:t xml:space="preserve">    </w:t>
      </w:r>
      <w:r>
        <w:rPr>
          <w:rFonts w:hint="eastAsia" w:ascii="宋体" w:hAnsi="宋体" w:cs="宋体"/>
          <w:sz w:val="24"/>
          <w:szCs w:val="21"/>
        </w:rPr>
        <w:t xml:space="preserve"> ）采购活动提供本单位制造的货物，或者提供其他残疾人福利性单位制造的货物（不包括使用非残疾人福利性单位注册商标的货物）。</w:t>
      </w:r>
    </w:p>
    <w:p w14:paraId="018FF16F">
      <w:pPr>
        <w:spacing w:line="588" w:lineRule="exact"/>
        <w:ind w:firstLine="480"/>
        <w:rPr>
          <w:rFonts w:ascii="宋体" w:hAnsi="宋体" w:cs="宋体"/>
          <w:sz w:val="24"/>
          <w:szCs w:val="21"/>
        </w:rPr>
      </w:pPr>
      <w:r>
        <w:rPr>
          <w:rFonts w:hint="eastAsia" w:ascii="宋体" w:hAnsi="宋体" w:cs="宋体"/>
          <w:sz w:val="24"/>
          <w:szCs w:val="21"/>
        </w:rPr>
        <w:t>本单位对上述声明的真实性负责。如有虚假，将依法承担相应责任。</w:t>
      </w:r>
    </w:p>
    <w:p w14:paraId="017FCD82">
      <w:pPr>
        <w:spacing w:line="588" w:lineRule="exact"/>
        <w:ind w:firstLine="480"/>
        <w:rPr>
          <w:rFonts w:ascii="宋体" w:hAnsi="宋体" w:cs="宋体"/>
          <w:sz w:val="24"/>
          <w:szCs w:val="21"/>
        </w:rPr>
      </w:pPr>
    </w:p>
    <w:p w14:paraId="305A2050">
      <w:pPr>
        <w:spacing w:line="588" w:lineRule="exact"/>
        <w:ind w:firstLine="480"/>
        <w:rPr>
          <w:rFonts w:ascii="宋体" w:hAnsi="宋体" w:cs="宋体"/>
          <w:sz w:val="24"/>
          <w:szCs w:val="21"/>
        </w:rPr>
      </w:pPr>
      <w:r>
        <w:rPr>
          <w:rFonts w:hint="eastAsia" w:ascii="宋体" w:hAnsi="宋体" w:cs="宋体"/>
          <w:sz w:val="24"/>
          <w:szCs w:val="21"/>
        </w:rPr>
        <w:t>（备注：1、供应商如不提供此声明函，价格将不做相应扣除。2、成交供应商为残疾人福利单位的，此声明函将随成交结果同时公告，接受社会监督）</w:t>
      </w:r>
    </w:p>
    <w:p w14:paraId="0F7A722D">
      <w:pPr>
        <w:spacing w:line="588" w:lineRule="exact"/>
        <w:ind w:firstLine="624"/>
        <w:rPr>
          <w:rFonts w:ascii="宋体" w:hAnsi="宋体" w:cs="宋体"/>
          <w:spacing w:val="6"/>
          <w:sz w:val="30"/>
          <w:szCs w:val="30"/>
        </w:rPr>
      </w:pPr>
    </w:p>
    <w:p w14:paraId="411D8D40">
      <w:pPr>
        <w:tabs>
          <w:tab w:val="left" w:pos="4860"/>
        </w:tabs>
        <w:spacing w:line="588" w:lineRule="exact"/>
        <w:ind w:right="1560" w:firstLine="624"/>
        <w:jc w:val="center"/>
        <w:rPr>
          <w:rFonts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供应商全称（加盖CA电子公章）：</w:t>
      </w:r>
    </w:p>
    <w:p w14:paraId="6AFD1ACD">
      <w:pPr>
        <w:tabs>
          <w:tab w:val="left" w:pos="4860"/>
        </w:tabs>
        <w:spacing w:line="588" w:lineRule="exact"/>
        <w:ind w:right="1560" w:firstLine="480"/>
        <w:jc w:val="center"/>
        <w:rPr>
          <w:rFonts w:ascii="宋体" w:hAnsi="宋体" w:cs="宋体"/>
          <w:sz w:val="24"/>
          <w:szCs w:val="21"/>
        </w:rPr>
      </w:pPr>
      <w:r>
        <w:rPr>
          <w:rFonts w:hint="eastAsia" w:ascii="宋体" w:hAnsi="宋体" w:cs="宋体"/>
          <w:sz w:val="24"/>
          <w:szCs w:val="21"/>
        </w:rPr>
        <w:t xml:space="preserve">        日  期：</w:t>
      </w:r>
    </w:p>
    <w:p w14:paraId="7E2FB8FE">
      <w:pPr>
        <w:spacing w:line="560" w:lineRule="exact"/>
        <w:jc w:val="center"/>
        <w:rPr>
          <w:rFonts w:ascii="宋体" w:hAnsi="宋体" w:cs="宋体"/>
          <w:b/>
          <w:sz w:val="32"/>
          <w:szCs w:val="32"/>
        </w:rPr>
      </w:pPr>
    </w:p>
    <w:p w14:paraId="77E39F30">
      <w:pPr>
        <w:spacing w:line="560" w:lineRule="exact"/>
        <w:jc w:val="center"/>
        <w:rPr>
          <w:rFonts w:ascii="宋体" w:hAnsi="宋体" w:cs="宋体"/>
          <w:b/>
          <w:sz w:val="32"/>
          <w:szCs w:val="32"/>
        </w:rPr>
      </w:pPr>
    </w:p>
    <w:p w14:paraId="7073BDED">
      <w:pPr>
        <w:spacing w:line="560" w:lineRule="exact"/>
        <w:jc w:val="center"/>
        <w:rPr>
          <w:rFonts w:ascii="宋体" w:hAnsi="宋体" w:cs="宋体"/>
          <w:b/>
          <w:sz w:val="32"/>
          <w:szCs w:val="32"/>
        </w:rPr>
      </w:pPr>
    </w:p>
    <w:p w14:paraId="6FDAA9ED">
      <w:pPr>
        <w:spacing w:line="560" w:lineRule="exact"/>
        <w:jc w:val="center"/>
        <w:rPr>
          <w:rFonts w:ascii="宋体" w:hAnsi="宋体" w:cs="宋体"/>
          <w:b/>
          <w:sz w:val="32"/>
          <w:szCs w:val="32"/>
        </w:rPr>
      </w:pPr>
    </w:p>
    <w:p w14:paraId="0A0E8978">
      <w:pPr>
        <w:spacing w:line="560" w:lineRule="exact"/>
        <w:jc w:val="center"/>
        <w:rPr>
          <w:rFonts w:ascii="宋体" w:hAnsi="宋体" w:cs="宋体"/>
          <w:b/>
          <w:sz w:val="32"/>
          <w:szCs w:val="32"/>
        </w:rPr>
      </w:pPr>
    </w:p>
    <w:p w14:paraId="5F88DF49">
      <w:pPr>
        <w:spacing w:line="560" w:lineRule="exact"/>
        <w:jc w:val="center"/>
        <w:rPr>
          <w:rFonts w:ascii="宋体" w:hAnsi="宋体" w:cs="宋体"/>
          <w:b/>
          <w:sz w:val="32"/>
          <w:szCs w:val="32"/>
        </w:rPr>
      </w:pPr>
    </w:p>
    <w:p w14:paraId="573E322B">
      <w:pPr>
        <w:spacing w:line="560" w:lineRule="exact"/>
        <w:jc w:val="center"/>
        <w:rPr>
          <w:rFonts w:ascii="宋体" w:hAnsi="宋体" w:cs="宋体"/>
          <w:b/>
          <w:sz w:val="32"/>
          <w:szCs w:val="32"/>
        </w:rPr>
      </w:pPr>
    </w:p>
    <w:p w14:paraId="07575D07">
      <w:pPr>
        <w:spacing w:line="560" w:lineRule="exact"/>
        <w:jc w:val="center"/>
        <w:rPr>
          <w:rFonts w:ascii="宋体" w:hAnsi="宋体" w:cs="宋体"/>
          <w:b/>
          <w:sz w:val="32"/>
          <w:szCs w:val="32"/>
        </w:rPr>
      </w:pPr>
    </w:p>
    <w:p w14:paraId="3C21BCCC">
      <w:pPr>
        <w:spacing w:line="560" w:lineRule="exact"/>
        <w:jc w:val="center"/>
        <w:rPr>
          <w:rFonts w:ascii="宋体" w:hAnsi="宋体" w:cs="宋体"/>
          <w:b/>
          <w:sz w:val="32"/>
          <w:szCs w:val="32"/>
        </w:rPr>
      </w:pPr>
    </w:p>
    <w:p w14:paraId="47485BA1">
      <w:pPr>
        <w:spacing w:line="560" w:lineRule="exact"/>
        <w:jc w:val="center"/>
        <w:rPr>
          <w:rFonts w:ascii="宋体" w:hAnsi="宋体" w:cs="宋体"/>
          <w:b/>
          <w:sz w:val="32"/>
          <w:szCs w:val="32"/>
        </w:rPr>
      </w:pPr>
    </w:p>
    <w:p w14:paraId="6AD0F195">
      <w:pPr>
        <w:spacing w:line="560" w:lineRule="exact"/>
        <w:jc w:val="left"/>
        <w:outlineLvl w:val="1"/>
        <w:rPr>
          <w:rFonts w:ascii="宋体" w:hAnsi="宋体" w:cs="宋体"/>
          <w:iCs/>
          <w:sz w:val="32"/>
          <w:szCs w:val="32"/>
        </w:rPr>
      </w:pPr>
      <w:bookmarkStart w:id="237" w:name="_Toc29242"/>
    </w:p>
    <w:p w14:paraId="7D4FD6D9">
      <w:pPr>
        <w:spacing w:line="560" w:lineRule="exact"/>
        <w:jc w:val="left"/>
        <w:outlineLvl w:val="1"/>
        <w:rPr>
          <w:rFonts w:ascii="宋体" w:hAnsi="宋体" w:cs="宋体"/>
          <w:iCs/>
          <w:sz w:val="32"/>
          <w:szCs w:val="32"/>
        </w:rPr>
      </w:pPr>
      <w:bookmarkStart w:id="238" w:name="_Toc25428"/>
      <w:r>
        <w:rPr>
          <w:rFonts w:hint="eastAsia" w:ascii="宋体" w:hAnsi="宋体" w:cs="宋体"/>
          <w:iCs/>
          <w:sz w:val="32"/>
          <w:szCs w:val="32"/>
        </w:rPr>
        <w:t>六、磋商报价表</w:t>
      </w:r>
      <w:bookmarkEnd w:id="238"/>
    </w:p>
    <w:p w14:paraId="33099860">
      <w:pPr>
        <w:pBdr>
          <w:top w:val="none" w:color="000000" w:sz="0" w:space="0"/>
          <w:left w:val="none" w:color="000000" w:sz="0" w:space="0"/>
          <w:bottom w:val="none" w:color="000000" w:sz="0" w:space="0"/>
          <w:right w:val="none" w:color="000000" w:sz="0" w:space="0"/>
        </w:pBdr>
        <w:spacing w:line="480" w:lineRule="exact"/>
        <w:rPr>
          <w:rFonts w:ascii="Times New Roman" w:hAnsi="Times New Roman" w:cs="Calibri"/>
          <w:sz w:val="24"/>
        </w:rPr>
      </w:pPr>
      <w:r>
        <w:rPr>
          <w:rFonts w:ascii="Times New Roman" w:hAnsi="Times New Roman" w:cs="仿宋"/>
          <w:sz w:val="24"/>
        </w:rPr>
        <w:t>本次为首次报价</w:t>
      </w:r>
    </w:p>
    <w:p w14:paraId="1EDCB344">
      <w:pPr>
        <w:pBdr>
          <w:top w:val="none" w:color="000000" w:sz="0" w:space="0"/>
          <w:left w:val="none" w:color="000000" w:sz="0" w:space="0"/>
          <w:bottom w:val="none" w:color="000000" w:sz="0" w:space="0"/>
          <w:right w:val="none" w:color="000000" w:sz="0" w:space="0"/>
        </w:pBdr>
        <w:spacing w:line="480" w:lineRule="exact"/>
        <w:rPr>
          <w:rFonts w:hint="default" w:ascii="Times New Roman" w:hAnsi="Times New Roman" w:eastAsia="宋体" w:cs="仿宋"/>
          <w:sz w:val="24"/>
          <w:lang w:val="en-US" w:eastAsia="zh-CN"/>
        </w:rPr>
      </w:pPr>
      <w:r>
        <w:rPr>
          <w:rFonts w:ascii="Times New Roman" w:hAnsi="Times New Roman" w:cs="仿宋"/>
          <w:sz w:val="24"/>
        </w:rPr>
        <w:t>货币单位：人民币元</w:t>
      </w:r>
      <w:r>
        <w:rPr>
          <w:rFonts w:hint="eastAsia" w:ascii="Times New Roman" w:hAnsi="Times New Roman" w:cs="仿宋"/>
          <w:sz w:val="24"/>
          <w:lang w:val="en-US" w:eastAsia="zh-CN"/>
        </w:rPr>
        <w:t xml:space="preserve">                       </w:t>
      </w:r>
      <w:r>
        <w:rPr>
          <w:rFonts w:ascii="Times New Roman" w:hAnsi="Times New Roman" w:cs="仿宋"/>
          <w:sz w:val="24"/>
        </w:rPr>
        <w:t>项目编号：</w:t>
      </w:r>
      <w:r>
        <w:rPr>
          <w:rFonts w:hint="eastAsia" w:ascii="Times New Roman" w:hAnsi="Times New Roman" w:cs="仿宋"/>
          <w:sz w:val="24"/>
          <w:lang w:val="en-US" w:eastAsia="zh-CN"/>
        </w:rPr>
        <w:t>项目编号</w:t>
      </w:r>
    </w:p>
    <w:p w14:paraId="790974E5">
      <w:pPr>
        <w:pBdr>
          <w:top w:val="none" w:color="000000" w:sz="0" w:space="0"/>
          <w:left w:val="none" w:color="000000" w:sz="0" w:space="0"/>
          <w:bottom w:val="none" w:color="000000" w:sz="0" w:space="0"/>
          <w:right w:val="none" w:color="000000" w:sz="0" w:space="0"/>
        </w:pBdr>
        <w:spacing w:line="480" w:lineRule="exact"/>
        <w:rPr>
          <w:rFonts w:hint="default" w:ascii="Times New Roman" w:hAnsi="Times New Roman" w:eastAsia="宋体" w:cs="仿宋"/>
          <w:sz w:val="24"/>
          <w:lang w:val="en-US" w:eastAsia="zh-CN"/>
        </w:rPr>
      </w:pPr>
      <w:r>
        <w:rPr>
          <w:rFonts w:ascii="Times New Roman" w:hAnsi="Times New Roman" w:cs="仿宋"/>
          <w:sz w:val="24"/>
        </w:rPr>
        <w:t>项目名称</w:t>
      </w:r>
      <w:r>
        <w:rPr>
          <w:rFonts w:hint="eastAsia" w:ascii="Times New Roman" w:hAnsi="Times New Roman" w:cs="仿宋"/>
          <w:sz w:val="24"/>
          <w:lang w:eastAsia="zh-CN"/>
        </w:rPr>
        <w:t>：</w:t>
      </w:r>
      <w:r>
        <w:rPr>
          <w:rFonts w:ascii="Times New Roman" w:hAnsi="Times New Roman" w:cs="仿宋"/>
          <w:sz w:val="24"/>
        </w:rPr>
        <w:t>项目名称</w:t>
      </w:r>
      <w:r>
        <w:rPr>
          <w:rFonts w:hint="eastAsia" w:ascii="Times New Roman" w:hAnsi="Times New Roman" w:cs="仿宋"/>
          <w:sz w:val="24"/>
          <w:lang w:val="en-US" w:eastAsia="zh-CN"/>
        </w:rPr>
        <w:t xml:space="preserve">                       采购包号：分包号</w:t>
      </w:r>
    </w:p>
    <w:p w14:paraId="6A3373C2">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p>
    <w:tbl>
      <w:tblPr>
        <w:tblStyle w:val="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42"/>
        <w:gridCol w:w="6641"/>
      </w:tblGrid>
      <w:tr w14:paraId="646BCB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42"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492AB3F">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rPr>
            </w:pPr>
            <w:r>
              <w:rPr>
                <w:rFonts w:ascii="宋体" w:hAnsi="宋体" w:eastAsia="宋体" w:cs="宋体"/>
                <w:sz w:val="24"/>
                <w:szCs w:val="24"/>
              </w:rPr>
              <w:t>标题</w:t>
            </w:r>
          </w:p>
        </w:tc>
        <w:tc>
          <w:tcPr>
            <w:tcW w:w="664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9D4BBAF">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ascii="宋体" w:hAnsi="宋体" w:eastAsia="宋体" w:cs="宋体"/>
                <w:sz w:val="24"/>
                <w:szCs w:val="24"/>
              </w:rPr>
              <w:t>单价报价</w:t>
            </w:r>
          </w:p>
        </w:tc>
      </w:tr>
      <w:tr w14:paraId="6163E4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42"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9756989">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ascii="宋体" w:hAnsi="宋体" w:eastAsia="宋体" w:cs="宋体"/>
                <w:sz w:val="24"/>
                <w:szCs w:val="24"/>
              </w:rPr>
              <w:t>报价小写</w:t>
            </w:r>
          </w:p>
        </w:tc>
        <w:tc>
          <w:tcPr>
            <w:tcW w:w="664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2258D7D">
            <w:pPr>
              <w:pBdr>
                <w:top w:val="none" w:color="000000" w:sz="0" w:space="0"/>
                <w:left w:val="none" w:color="000000" w:sz="0" w:space="0"/>
                <w:bottom w:val="none" w:color="000000" w:sz="0" w:space="0"/>
                <w:right w:val="none" w:color="000000" w:sz="0" w:space="0"/>
              </w:pBdr>
              <w:spacing w:line="480" w:lineRule="exact"/>
              <w:ind w:firstLine="240"/>
              <w:rPr>
                <w:rFonts w:ascii="Times New Roman" w:hAnsi="Times New Roman"/>
              </w:rPr>
            </w:pPr>
            <w:r>
              <w:rPr>
                <w:rFonts w:ascii="宋体" w:hAnsi="宋体" w:eastAsia="宋体" w:cs="宋体"/>
                <w:sz w:val="24"/>
                <w:szCs w:val="24"/>
              </w:rPr>
              <w:t> 元</w:t>
            </w:r>
          </w:p>
        </w:tc>
      </w:tr>
      <w:tr w14:paraId="4D5EF5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42"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3426511">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hint="eastAsia" w:ascii="Times New Roman" w:hAnsi="Times New Roman" w:cs="仿宋"/>
                <w:sz w:val="24"/>
                <w:lang w:val="en-US" w:eastAsia="zh-CN"/>
              </w:rPr>
              <w:t>报价</w:t>
            </w:r>
            <w:r>
              <w:rPr>
                <w:rFonts w:ascii="Times New Roman" w:hAnsi="Times New Roman" w:cs="仿宋"/>
                <w:sz w:val="24"/>
              </w:rPr>
              <w:t>大写</w:t>
            </w:r>
          </w:p>
        </w:tc>
        <w:tc>
          <w:tcPr>
            <w:tcW w:w="664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6303B2B">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ascii="Times New Roman" w:hAnsi="Times New Roman" w:cs="仿宋"/>
                <w:sz w:val="24"/>
              </w:rPr>
              <w:t>金额大写</w:t>
            </w:r>
            <w:r>
              <w:rPr>
                <w:rFonts w:ascii="Times New Roman" w:hAnsi="Times New Roman" w:cs="Calibri"/>
                <w:sz w:val="24"/>
              </w:rPr>
              <w:t> </w:t>
            </w:r>
            <w:r>
              <w:rPr>
                <w:rFonts w:hint="eastAsia" w:ascii="Times New Roman" w:hAnsi="Times New Roman" w:cs="Calibri"/>
                <w:sz w:val="24"/>
              </w:rPr>
              <w:t>（人民币：元）</w:t>
            </w:r>
          </w:p>
        </w:tc>
      </w:tr>
    </w:tbl>
    <w:p w14:paraId="5C8B08D0">
      <w:pPr>
        <w:pBdr>
          <w:top w:val="none" w:color="000000" w:sz="0" w:space="0"/>
          <w:left w:val="none" w:color="000000" w:sz="0" w:space="0"/>
          <w:bottom w:val="none" w:color="000000" w:sz="0" w:space="0"/>
          <w:right w:val="none" w:color="000000" w:sz="0" w:space="0"/>
        </w:pBdr>
        <w:spacing w:line="480" w:lineRule="exact"/>
        <w:rPr>
          <w:rFonts w:ascii="宋体" w:hAnsi="宋体" w:cs="仿宋"/>
          <w:sz w:val="24"/>
        </w:rPr>
      </w:pPr>
      <w:r>
        <w:rPr>
          <w:rFonts w:ascii="Times New Roman" w:hAnsi="Times New Roman" w:cs="仿宋"/>
          <w:sz w:val="24"/>
        </w:rPr>
        <w:t>供</w:t>
      </w:r>
      <w:r>
        <w:rPr>
          <w:rFonts w:ascii="宋体" w:hAnsi="宋体" w:cs="仿宋"/>
          <w:sz w:val="24"/>
        </w:rPr>
        <w:t>应商（CA电子签章）：供应商名称</w:t>
      </w:r>
    </w:p>
    <w:p w14:paraId="17795525">
      <w:pPr>
        <w:pBdr>
          <w:top w:val="none" w:color="000000" w:sz="0" w:space="0"/>
          <w:left w:val="none" w:color="000000" w:sz="0" w:space="0"/>
          <w:bottom w:val="none" w:color="000000" w:sz="0" w:space="0"/>
          <w:right w:val="none" w:color="000000" w:sz="0" w:space="0"/>
        </w:pBdr>
        <w:spacing w:line="480" w:lineRule="exact"/>
        <w:rPr>
          <w:rFonts w:ascii="宋体" w:hAnsi="宋体"/>
        </w:rPr>
      </w:pPr>
      <w:r>
        <w:rPr>
          <w:rFonts w:ascii="宋体" w:hAnsi="宋体" w:cs="仿宋"/>
          <w:sz w:val="24"/>
        </w:rPr>
        <w:t>日期：</w:t>
      </w:r>
      <w:r>
        <w:rPr>
          <w:rFonts w:ascii="宋体" w:hAnsi="宋体" w:cs="Calibri"/>
          <w:sz w:val="24"/>
        </w:rPr>
        <w:t xml:space="preserve">   </w:t>
      </w:r>
      <w:r>
        <w:rPr>
          <w:rFonts w:ascii="宋体" w:hAnsi="宋体" w:cs="仿宋"/>
          <w:sz w:val="24"/>
        </w:rPr>
        <w:t>年</w:t>
      </w:r>
      <w:r>
        <w:rPr>
          <w:rFonts w:ascii="宋体" w:hAnsi="宋体" w:cs="Calibri"/>
          <w:sz w:val="24"/>
        </w:rPr>
        <w:t xml:space="preserve">   </w:t>
      </w:r>
      <w:r>
        <w:rPr>
          <w:rFonts w:ascii="宋体" w:hAnsi="宋体" w:cs="仿宋"/>
          <w:sz w:val="24"/>
        </w:rPr>
        <w:t>月</w:t>
      </w:r>
      <w:r>
        <w:rPr>
          <w:rFonts w:ascii="宋体" w:hAnsi="宋体" w:cs="Calibri"/>
          <w:sz w:val="24"/>
        </w:rPr>
        <w:t xml:space="preserve">   </w:t>
      </w:r>
      <w:r>
        <w:rPr>
          <w:rFonts w:ascii="宋体" w:hAnsi="宋体" w:cs="仿宋"/>
          <w:sz w:val="24"/>
        </w:rPr>
        <w:t>日</w:t>
      </w:r>
    </w:p>
    <w:p w14:paraId="1B9CF3AF">
      <w:pPr>
        <w:rPr>
          <w:rFonts w:ascii="宋体" w:hAnsi="宋体" w:cs="宋体"/>
          <w:iCs/>
          <w:sz w:val="32"/>
          <w:szCs w:val="32"/>
        </w:rPr>
      </w:pPr>
      <w:r>
        <w:rPr>
          <w:rFonts w:hint="eastAsia" w:ascii="宋体" w:hAnsi="宋体" w:cs="宋体"/>
          <w:iCs/>
          <w:sz w:val="32"/>
          <w:szCs w:val="32"/>
        </w:rPr>
        <w:br w:type="page" w:clear="all"/>
      </w:r>
    </w:p>
    <w:p w14:paraId="213C1D4D">
      <w:pPr>
        <w:spacing w:line="560" w:lineRule="exact"/>
        <w:jc w:val="left"/>
        <w:outlineLvl w:val="1"/>
        <w:rPr>
          <w:rFonts w:ascii="宋体" w:hAnsi="宋体" w:cs="宋体"/>
          <w:iCs/>
          <w:sz w:val="32"/>
          <w:szCs w:val="32"/>
        </w:rPr>
      </w:pPr>
      <w:bookmarkStart w:id="239" w:name="_Toc18228"/>
      <w:r>
        <w:rPr>
          <w:rFonts w:hint="eastAsia" w:ascii="宋体" w:hAnsi="宋体" w:cs="宋体"/>
          <w:iCs/>
          <w:sz w:val="32"/>
          <w:szCs w:val="32"/>
        </w:rPr>
        <w:t>七、分项报价表（服务类）</w:t>
      </w:r>
      <w:bookmarkEnd w:id="237"/>
      <w:bookmarkEnd w:id="239"/>
    </w:p>
    <w:tbl>
      <w:tblPr>
        <w:tblStyle w:val="4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842"/>
        <w:gridCol w:w="1701"/>
        <w:gridCol w:w="1843"/>
        <w:gridCol w:w="2410"/>
      </w:tblGrid>
      <w:tr w14:paraId="26EE5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101" w:type="dxa"/>
            <w:vMerge w:val="restart"/>
            <w:noWrap w:val="0"/>
            <w:vAlign w:val="center"/>
          </w:tcPr>
          <w:p w14:paraId="23B03460">
            <w:pPr>
              <w:spacing w:line="0" w:lineRule="atLeast"/>
              <w:jc w:val="center"/>
              <w:rPr>
                <w:rFonts w:ascii="宋体" w:hAnsi="宋体"/>
                <w:sz w:val="24"/>
                <w:szCs w:val="24"/>
              </w:rPr>
            </w:pPr>
            <w:r>
              <w:rPr>
                <w:rFonts w:hint="eastAsia" w:ascii="宋体" w:hAnsi="宋体"/>
                <w:sz w:val="24"/>
                <w:szCs w:val="24"/>
              </w:rPr>
              <w:t>序号</w:t>
            </w:r>
          </w:p>
        </w:tc>
        <w:tc>
          <w:tcPr>
            <w:tcW w:w="1842" w:type="dxa"/>
            <w:noWrap w:val="0"/>
            <w:vAlign w:val="center"/>
          </w:tcPr>
          <w:p w14:paraId="35F07E9C">
            <w:pPr>
              <w:spacing w:line="0" w:lineRule="atLeast"/>
              <w:jc w:val="center"/>
              <w:rPr>
                <w:rFonts w:ascii="宋体" w:hAnsi="宋体"/>
                <w:sz w:val="24"/>
                <w:szCs w:val="24"/>
              </w:rPr>
            </w:pPr>
            <w:r>
              <w:rPr>
                <w:rFonts w:hint="eastAsia" w:ascii="宋体" w:hAnsi="宋体"/>
                <w:sz w:val="24"/>
                <w:szCs w:val="24"/>
              </w:rPr>
              <w:t>1</w:t>
            </w:r>
          </w:p>
        </w:tc>
        <w:tc>
          <w:tcPr>
            <w:tcW w:w="1701" w:type="dxa"/>
            <w:noWrap w:val="0"/>
            <w:vAlign w:val="center"/>
          </w:tcPr>
          <w:p w14:paraId="6FEA5ABE">
            <w:pPr>
              <w:spacing w:line="0" w:lineRule="atLeast"/>
              <w:jc w:val="center"/>
              <w:rPr>
                <w:rFonts w:ascii="宋体" w:hAnsi="宋体"/>
                <w:sz w:val="24"/>
                <w:szCs w:val="24"/>
              </w:rPr>
            </w:pPr>
            <w:r>
              <w:rPr>
                <w:rFonts w:hint="eastAsia" w:ascii="宋体" w:hAnsi="宋体"/>
                <w:sz w:val="24"/>
                <w:szCs w:val="24"/>
              </w:rPr>
              <w:t>2</w:t>
            </w:r>
          </w:p>
        </w:tc>
        <w:tc>
          <w:tcPr>
            <w:tcW w:w="1843" w:type="dxa"/>
            <w:noWrap w:val="0"/>
            <w:vAlign w:val="center"/>
          </w:tcPr>
          <w:p w14:paraId="325FE034">
            <w:pPr>
              <w:spacing w:line="0" w:lineRule="atLeast"/>
              <w:jc w:val="center"/>
              <w:rPr>
                <w:rFonts w:ascii="宋体" w:hAnsi="宋体"/>
                <w:sz w:val="24"/>
                <w:szCs w:val="24"/>
              </w:rPr>
            </w:pPr>
            <w:r>
              <w:rPr>
                <w:rFonts w:hint="eastAsia" w:ascii="宋体" w:hAnsi="宋体"/>
                <w:sz w:val="24"/>
                <w:szCs w:val="24"/>
              </w:rPr>
              <w:t>3</w:t>
            </w:r>
          </w:p>
        </w:tc>
        <w:tc>
          <w:tcPr>
            <w:tcW w:w="2410" w:type="dxa"/>
            <w:noWrap w:val="0"/>
            <w:vAlign w:val="center"/>
          </w:tcPr>
          <w:p w14:paraId="6AD55134">
            <w:pPr>
              <w:spacing w:line="0" w:lineRule="atLeast"/>
              <w:jc w:val="center"/>
              <w:rPr>
                <w:rFonts w:ascii="宋体" w:hAnsi="宋体"/>
                <w:sz w:val="24"/>
                <w:szCs w:val="24"/>
              </w:rPr>
            </w:pPr>
            <w:r>
              <w:rPr>
                <w:rFonts w:hint="eastAsia" w:ascii="宋体" w:hAnsi="宋体"/>
                <w:sz w:val="24"/>
                <w:szCs w:val="24"/>
              </w:rPr>
              <w:t>4</w:t>
            </w:r>
          </w:p>
        </w:tc>
      </w:tr>
      <w:tr w14:paraId="361BE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1101" w:type="dxa"/>
            <w:vMerge w:val="continue"/>
            <w:noWrap w:val="0"/>
            <w:vAlign w:val="center"/>
          </w:tcPr>
          <w:p w14:paraId="7CD574B5">
            <w:pPr>
              <w:spacing w:line="0" w:lineRule="atLeast"/>
              <w:jc w:val="center"/>
              <w:rPr>
                <w:rFonts w:ascii="宋体" w:hAnsi="宋体"/>
                <w:sz w:val="24"/>
                <w:szCs w:val="24"/>
              </w:rPr>
            </w:pPr>
          </w:p>
        </w:tc>
        <w:tc>
          <w:tcPr>
            <w:tcW w:w="1842" w:type="dxa"/>
            <w:noWrap w:val="0"/>
            <w:vAlign w:val="center"/>
          </w:tcPr>
          <w:p w14:paraId="5FE889D2">
            <w:pPr>
              <w:spacing w:line="0" w:lineRule="atLeast"/>
              <w:jc w:val="center"/>
              <w:rPr>
                <w:rFonts w:ascii="宋体" w:hAnsi="宋体"/>
                <w:sz w:val="24"/>
                <w:szCs w:val="24"/>
              </w:rPr>
            </w:pPr>
            <w:r>
              <w:rPr>
                <w:rFonts w:hint="eastAsia" w:ascii="宋体" w:hAnsi="宋体"/>
                <w:sz w:val="24"/>
                <w:szCs w:val="24"/>
              </w:rPr>
              <w:t>分项服务名称</w:t>
            </w:r>
          </w:p>
        </w:tc>
        <w:tc>
          <w:tcPr>
            <w:tcW w:w="1701" w:type="dxa"/>
            <w:noWrap w:val="0"/>
            <w:vAlign w:val="center"/>
          </w:tcPr>
          <w:p w14:paraId="5D29F738">
            <w:pPr>
              <w:spacing w:line="0" w:lineRule="atLeast"/>
              <w:jc w:val="center"/>
              <w:rPr>
                <w:rFonts w:ascii="宋体" w:hAnsi="宋体"/>
                <w:sz w:val="24"/>
                <w:szCs w:val="24"/>
              </w:rPr>
            </w:pPr>
            <w:r>
              <w:rPr>
                <w:rFonts w:hint="eastAsia" w:ascii="宋体" w:hAnsi="宋体"/>
                <w:sz w:val="24"/>
                <w:szCs w:val="24"/>
              </w:rPr>
              <w:t>交付期</w:t>
            </w:r>
          </w:p>
        </w:tc>
        <w:tc>
          <w:tcPr>
            <w:tcW w:w="1843" w:type="dxa"/>
            <w:noWrap w:val="0"/>
            <w:vAlign w:val="center"/>
          </w:tcPr>
          <w:p w14:paraId="6B560017">
            <w:pPr>
              <w:spacing w:line="0" w:lineRule="atLeast"/>
              <w:ind w:firstLine="240"/>
              <w:rPr>
                <w:rFonts w:ascii="宋体" w:hAnsi="宋体"/>
                <w:sz w:val="24"/>
                <w:szCs w:val="24"/>
              </w:rPr>
            </w:pPr>
            <w:r>
              <w:rPr>
                <w:rFonts w:hint="eastAsia" w:ascii="宋体" w:hAnsi="宋体"/>
                <w:sz w:val="24"/>
                <w:szCs w:val="24"/>
              </w:rPr>
              <w:t>单价（元/亩）</w:t>
            </w:r>
          </w:p>
        </w:tc>
        <w:tc>
          <w:tcPr>
            <w:tcW w:w="2410" w:type="dxa"/>
            <w:noWrap w:val="0"/>
            <w:vAlign w:val="center"/>
          </w:tcPr>
          <w:p w14:paraId="0C44A1D0">
            <w:pPr>
              <w:spacing w:line="0" w:lineRule="atLeast"/>
              <w:jc w:val="center"/>
              <w:rPr>
                <w:rFonts w:ascii="宋体" w:hAnsi="宋体"/>
                <w:sz w:val="24"/>
                <w:szCs w:val="24"/>
              </w:rPr>
            </w:pPr>
            <w:r>
              <w:rPr>
                <w:rFonts w:hint="eastAsia" w:ascii="宋体" w:hAnsi="宋体"/>
                <w:sz w:val="24"/>
                <w:szCs w:val="24"/>
              </w:rPr>
              <w:t>备注</w:t>
            </w:r>
          </w:p>
        </w:tc>
      </w:tr>
      <w:tr w14:paraId="25D3D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1101" w:type="dxa"/>
            <w:noWrap w:val="0"/>
            <w:vAlign w:val="center"/>
          </w:tcPr>
          <w:p w14:paraId="48743846">
            <w:pPr>
              <w:spacing w:line="0" w:lineRule="atLeast"/>
              <w:jc w:val="center"/>
              <w:rPr>
                <w:rFonts w:ascii="宋体" w:hAnsi="宋体"/>
                <w:sz w:val="24"/>
                <w:szCs w:val="24"/>
              </w:rPr>
            </w:pPr>
            <w:r>
              <w:rPr>
                <w:rFonts w:hint="eastAsia" w:ascii="宋体" w:hAnsi="宋体"/>
                <w:sz w:val="24"/>
                <w:szCs w:val="24"/>
              </w:rPr>
              <w:t>1</w:t>
            </w:r>
          </w:p>
        </w:tc>
        <w:tc>
          <w:tcPr>
            <w:tcW w:w="1842" w:type="dxa"/>
            <w:noWrap w:val="0"/>
            <w:vAlign w:val="center"/>
          </w:tcPr>
          <w:p w14:paraId="50D3AF65">
            <w:pPr>
              <w:spacing w:line="0" w:lineRule="atLeast"/>
              <w:jc w:val="center"/>
              <w:rPr>
                <w:rFonts w:ascii="宋体" w:hAnsi="宋体"/>
                <w:sz w:val="24"/>
                <w:szCs w:val="24"/>
              </w:rPr>
            </w:pPr>
          </w:p>
        </w:tc>
        <w:tc>
          <w:tcPr>
            <w:tcW w:w="1701" w:type="dxa"/>
            <w:noWrap w:val="0"/>
            <w:vAlign w:val="center"/>
          </w:tcPr>
          <w:p w14:paraId="20663B81">
            <w:pPr>
              <w:spacing w:line="0" w:lineRule="atLeast"/>
              <w:jc w:val="center"/>
              <w:rPr>
                <w:rFonts w:ascii="宋体" w:hAnsi="宋体"/>
                <w:sz w:val="24"/>
                <w:szCs w:val="24"/>
              </w:rPr>
            </w:pPr>
          </w:p>
        </w:tc>
        <w:tc>
          <w:tcPr>
            <w:tcW w:w="1843" w:type="dxa"/>
            <w:noWrap w:val="0"/>
            <w:vAlign w:val="center"/>
          </w:tcPr>
          <w:p w14:paraId="3D2DE217">
            <w:pPr>
              <w:spacing w:line="0" w:lineRule="atLeast"/>
              <w:jc w:val="center"/>
              <w:rPr>
                <w:rFonts w:ascii="宋体" w:hAnsi="宋体"/>
                <w:sz w:val="24"/>
                <w:szCs w:val="24"/>
              </w:rPr>
            </w:pPr>
          </w:p>
        </w:tc>
        <w:tc>
          <w:tcPr>
            <w:tcW w:w="2410" w:type="dxa"/>
            <w:vMerge w:val="restart"/>
            <w:noWrap w:val="0"/>
            <w:vAlign w:val="center"/>
          </w:tcPr>
          <w:p w14:paraId="4F6602B4">
            <w:pPr>
              <w:spacing w:line="0" w:lineRule="atLeast"/>
              <w:jc w:val="center"/>
              <w:rPr>
                <w:rFonts w:ascii="宋体" w:hAnsi="宋体"/>
                <w:sz w:val="24"/>
                <w:szCs w:val="24"/>
              </w:rPr>
            </w:pPr>
            <w:r>
              <w:rPr>
                <w:rFonts w:hint="eastAsia" w:ascii="宋体" w:hAnsi="宋体"/>
                <w:sz w:val="24"/>
                <w:szCs w:val="24"/>
              </w:rPr>
              <w:t>最终数量以实际申报数量为准。最终结算价=中标单价*最终实际申报数量。</w:t>
            </w:r>
          </w:p>
        </w:tc>
      </w:tr>
      <w:tr w14:paraId="5326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1101" w:type="dxa"/>
            <w:noWrap w:val="0"/>
            <w:vAlign w:val="center"/>
          </w:tcPr>
          <w:p w14:paraId="6C68CE62">
            <w:pPr>
              <w:spacing w:line="0" w:lineRule="atLeast"/>
              <w:jc w:val="center"/>
              <w:rPr>
                <w:rFonts w:ascii="宋体" w:hAnsi="宋体"/>
                <w:sz w:val="24"/>
                <w:szCs w:val="24"/>
              </w:rPr>
            </w:pPr>
            <w:r>
              <w:rPr>
                <w:rFonts w:hint="eastAsia" w:ascii="宋体" w:hAnsi="宋体"/>
                <w:sz w:val="24"/>
                <w:szCs w:val="24"/>
              </w:rPr>
              <w:t>2</w:t>
            </w:r>
          </w:p>
        </w:tc>
        <w:tc>
          <w:tcPr>
            <w:tcW w:w="1842" w:type="dxa"/>
            <w:noWrap w:val="0"/>
            <w:vAlign w:val="center"/>
          </w:tcPr>
          <w:p w14:paraId="56EDCFF4">
            <w:pPr>
              <w:spacing w:line="0" w:lineRule="atLeast"/>
              <w:jc w:val="center"/>
              <w:rPr>
                <w:rFonts w:ascii="宋体" w:hAnsi="宋体"/>
                <w:sz w:val="24"/>
                <w:szCs w:val="24"/>
              </w:rPr>
            </w:pPr>
          </w:p>
        </w:tc>
        <w:tc>
          <w:tcPr>
            <w:tcW w:w="1701" w:type="dxa"/>
            <w:noWrap w:val="0"/>
            <w:vAlign w:val="center"/>
          </w:tcPr>
          <w:p w14:paraId="6E845786">
            <w:pPr>
              <w:spacing w:line="0" w:lineRule="atLeast"/>
              <w:jc w:val="center"/>
              <w:rPr>
                <w:rFonts w:ascii="宋体" w:hAnsi="宋体"/>
                <w:sz w:val="24"/>
                <w:szCs w:val="24"/>
              </w:rPr>
            </w:pPr>
          </w:p>
        </w:tc>
        <w:tc>
          <w:tcPr>
            <w:tcW w:w="1843" w:type="dxa"/>
            <w:noWrap w:val="0"/>
            <w:vAlign w:val="center"/>
          </w:tcPr>
          <w:p w14:paraId="6EC7BBF3">
            <w:pPr>
              <w:spacing w:line="0" w:lineRule="atLeast"/>
              <w:jc w:val="center"/>
              <w:rPr>
                <w:rFonts w:ascii="宋体" w:hAnsi="宋体"/>
                <w:sz w:val="24"/>
                <w:szCs w:val="24"/>
              </w:rPr>
            </w:pPr>
          </w:p>
        </w:tc>
        <w:tc>
          <w:tcPr>
            <w:tcW w:w="2410" w:type="dxa"/>
            <w:vMerge w:val="continue"/>
            <w:noWrap w:val="0"/>
            <w:vAlign w:val="center"/>
          </w:tcPr>
          <w:p w14:paraId="4492E28F">
            <w:pPr>
              <w:spacing w:line="0" w:lineRule="atLeast"/>
              <w:jc w:val="center"/>
              <w:rPr>
                <w:rFonts w:ascii="宋体" w:hAnsi="宋体"/>
                <w:sz w:val="24"/>
                <w:szCs w:val="24"/>
              </w:rPr>
            </w:pPr>
          </w:p>
        </w:tc>
      </w:tr>
      <w:tr w14:paraId="432E7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1101" w:type="dxa"/>
            <w:noWrap w:val="0"/>
            <w:vAlign w:val="center"/>
          </w:tcPr>
          <w:p w14:paraId="7C638406">
            <w:pPr>
              <w:spacing w:line="0" w:lineRule="atLeast"/>
              <w:jc w:val="center"/>
              <w:rPr>
                <w:rFonts w:ascii="宋体" w:hAnsi="宋体"/>
                <w:sz w:val="24"/>
                <w:szCs w:val="24"/>
              </w:rPr>
            </w:pPr>
            <w:r>
              <w:rPr>
                <w:rFonts w:hint="eastAsia" w:ascii="宋体" w:hAnsi="宋体"/>
                <w:sz w:val="24"/>
                <w:szCs w:val="24"/>
              </w:rPr>
              <w:t>3</w:t>
            </w:r>
          </w:p>
        </w:tc>
        <w:tc>
          <w:tcPr>
            <w:tcW w:w="1842" w:type="dxa"/>
            <w:noWrap w:val="0"/>
            <w:vAlign w:val="center"/>
          </w:tcPr>
          <w:p w14:paraId="0119F56D">
            <w:pPr>
              <w:spacing w:line="0" w:lineRule="atLeast"/>
              <w:jc w:val="center"/>
              <w:rPr>
                <w:rFonts w:ascii="宋体" w:hAnsi="宋体"/>
                <w:sz w:val="24"/>
                <w:szCs w:val="24"/>
              </w:rPr>
            </w:pPr>
          </w:p>
        </w:tc>
        <w:tc>
          <w:tcPr>
            <w:tcW w:w="1701" w:type="dxa"/>
            <w:noWrap w:val="0"/>
            <w:vAlign w:val="center"/>
          </w:tcPr>
          <w:p w14:paraId="19C3900A">
            <w:pPr>
              <w:spacing w:line="0" w:lineRule="atLeast"/>
              <w:jc w:val="center"/>
              <w:rPr>
                <w:rFonts w:ascii="宋体" w:hAnsi="宋体"/>
                <w:sz w:val="24"/>
                <w:szCs w:val="24"/>
              </w:rPr>
            </w:pPr>
          </w:p>
        </w:tc>
        <w:tc>
          <w:tcPr>
            <w:tcW w:w="1843" w:type="dxa"/>
            <w:noWrap w:val="0"/>
            <w:vAlign w:val="center"/>
          </w:tcPr>
          <w:p w14:paraId="0F28DAF8">
            <w:pPr>
              <w:spacing w:line="0" w:lineRule="atLeast"/>
              <w:jc w:val="center"/>
              <w:rPr>
                <w:rFonts w:ascii="宋体" w:hAnsi="宋体"/>
                <w:sz w:val="24"/>
                <w:szCs w:val="24"/>
              </w:rPr>
            </w:pPr>
          </w:p>
        </w:tc>
        <w:tc>
          <w:tcPr>
            <w:tcW w:w="2410" w:type="dxa"/>
            <w:vMerge w:val="continue"/>
            <w:noWrap w:val="0"/>
            <w:vAlign w:val="center"/>
          </w:tcPr>
          <w:p w14:paraId="2BFD3D25">
            <w:pPr>
              <w:spacing w:line="0" w:lineRule="atLeast"/>
              <w:jc w:val="center"/>
              <w:rPr>
                <w:rFonts w:ascii="宋体" w:hAnsi="宋体"/>
                <w:sz w:val="24"/>
                <w:szCs w:val="24"/>
              </w:rPr>
            </w:pPr>
          </w:p>
        </w:tc>
      </w:tr>
      <w:tr w14:paraId="6F517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1101" w:type="dxa"/>
            <w:noWrap w:val="0"/>
            <w:vAlign w:val="center"/>
          </w:tcPr>
          <w:p w14:paraId="04865652">
            <w:pPr>
              <w:spacing w:line="0" w:lineRule="atLeast"/>
              <w:jc w:val="center"/>
              <w:rPr>
                <w:rFonts w:ascii="宋体" w:hAnsi="宋体"/>
                <w:sz w:val="24"/>
                <w:szCs w:val="24"/>
              </w:rPr>
            </w:pPr>
            <w:r>
              <w:rPr>
                <w:rFonts w:ascii="宋体" w:hAnsi="宋体"/>
                <w:sz w:val="24"/>
                <w:szCs w:val="24"/>
              </w:rPr>
              <w:t>……</w:t>
            </w:r>
          </w:p>
        </w:tc>
        <w:tc>
          <w:tcPr>
            <w:tcW w:w="1842" w:type="dxa"/>
            <w:noWrap w:val="0"/>
            <w:vAlign w:val="center"/>
          </w:tcPr>
          <w:p w14:paraId="17108FE4">
            <w:pPr>
              <w:spacing w:line="0" w:lineRule="atLeast"/>
              <w:jc w:val="center"/>
              <w:rPr>
                <w:rFonts w:ascii="宋体" w:hAnsi="宋体"/>
                <w:sz w:val="24"/>
                <w:szCs w:val="24"/>
              </w:rPr>
            </w:pPr>
            <w:r>
              <w:rPr>
                <w:rFonts w:ascii="宋体" w:hAnsi="宋体"/>
                <w:sz w:val="24"/>
                <w:szCs w:val="24"/>
              </w:rPr>
              <w:t>……</w:t>
            </w:r>
          </w:p>
        </w:tc>
        <w:tc>
          <w:tcPr>
            <w:tcW w:w="1701" w:type="dxa"/>
            <w:noWrap w:val="0"/>
            <w:vAlign w:val="center"/>
          </w:tcPr>
          <w:p w14:paraId="5B43B066">
            <w:pPr>
              <w:spacing w:line="0" w:lineRule="atLeast"/>
              <w:jc w:val="center"/>
              <w:rPr>
                <w:rFonts w:ascii="宋体" w:hAnsi="宋体"/>
                <w:sz w:val="24"/>
                <w:szCs w:val="24"/>
              </w:rPr>
            </w:pPr>
          </w:p>
        </w:tc>
        <w:tc>
          <w:tcPr>
            <w:tcW w:w="1843" w:type="dxa"/>
            <w:noWrap w:val="0"/>
            <w:vAlign w:val="center"/>
          </w:tcPr>
          <w:p w14:paraId="1D063AF2">
            <w:pPr>
              <w:spacing w:line="0" w:lineRule="atLeast"/>
              <w:jc w:val="center"/>
              <w:rPr>
                <w:rFonts w:ascii="宋体" w:hAnsi="宋体"/>
                <w:sz w:val="24"/>
                <w:szCs w:val="24"/>
              </w:rPr>
            </w:pPr>
          </w:p>
        </w:tc>
        <w:tc>
          <w:tcPr>
            <w:tcW w:w="2410" w:type="dxa"/>
            <w:vMerge w:val="continue"/>
            <w:noWrap w:val="0"/>
            <w:vAlign w:val="center"/>
          </w:tcPr>
          <w:p w14:paraId="7BCCA964">
            <w:pPr>
              <w:spacing w:line="0" w:lineRule="atLeast"/>
              <w:jc w:val="center"/>
              <w:rPr>
                <w:rFonts w:ascii="宋体" w:hAnsi="宋体"/>
                <w:sz w:val="24"/>
                <w:szCs w:val="24"/>
              </w:rPr>
            </w:pPr>
          </w:p>
        </w:tc>
      </w:tr>
      <w:tr w14:paraId="5C85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8897" w:type="dxa"/>
            <w:gridSpan w:val="5"/>
            <w:noWrap w:val="0"/>
            <w:vAlign w:val="center"/>
          </w:tcPr>
          <w:p w14:paraId="57555792">
            <w:pPr>
              <w:spacing w:line="0" w:lineRule="atLeast"/>
              <w:jc w:val="center"/>
              <w:rPr>
                <w:rFonts w:ascii="宋体" w:hAnsi="宋体"/>
                <w:sz w:val="24"/>
                <w:szCs w:val="24"/>
              </w:rPr>
            </w:pPr>
            <w:r>
              <w:rPr>
                <w:rFonts w:hint="eastAsia" w:ascii="宋体" w:hAnsi="宋体"/>
                <w:sz w:val="24"/>
                <w:szCs w:val="24"/>
              </w:rPr>
              <w:t>投标报价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（人民币：</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元/亩）</w:t>
            </w:r>
          </w:p>
        </w:tc>
      </w:tr>
    </w:tbl>
    <w:p w14:paraId="5389E34D">
      <w:pPr>
        <w:rPr>
          <w:rFonts w:ascii="Times New Roman" w:hAnsi="Times New Roman"/>
          <w:sz w:val="24"/>
          <w:szCs w:val="24"/>
        </w:rPr>
      </w:pPr>
      <w:r>
        <w:rPr>
          <w:rFonts w:hint="eastAsia" w:ascii="Times New Roman" w:hAnsi="Times New Roman"/>
          <w:sz w:val="24"/>
          <w:szCs w:val="24"/>
        </w:rPr>
        <w:t>备注：1.“投标报价”应包括本项目服务过程中所发生的一切费用，包括：服务本身、人工费、服务费、设备费、税金以及交付使用过程中涉及到的其他一切费用。</w:t>
      </w:r>
    </w:p>
    <w:p w14:paraId="0C7009D9">
      <w:pPr>
        <w:rPr>
          <w:rFonts w:ascii="Times New Roman" w:hAnsi="Times New Roman"/>
          <w:sz w:val="24"/>
          <w:szCs w:val="24"/>
        </w:rPr>
      </w:pPr>
      <w:r>
        <w:rPr>
          <w:rFonts w:hint="eastAsia" w:ascii="Times New Roman" w:hAnsi="Times New Roman"/>
          <w:sz w:val="24"/>
          <w:szCs w:val="24"/>
        </w:rPr>
        <w:t>2. “投标分项报价表”中“投标报价”数额应当与“开标一览表”中“投标报价”数额一致。</w:t>
      </w:r>
    </w:p>
    <w:p w14:paraId="28012B4A">
      <w:pPr>
        <w:rPr>
          <w:rFonts w:ascii="宋体" w:hAnsi="宋体" w:cs="宋体"/>
          <w:sz w:val="24"/>
          <w:szCs w:val="24"/>
        </w:rPr>
      </w:pPr>
    </w:p>
    <w:p w14:paraId="6E9F80CB">
      <w:pPr>
        <w:rPr>
          <w:rFonts w:ascii="宋体" w:hAnsi="宋体" w:cs="宋体"/>
          <w:sz w:val="24"/>
          <w:szCs w:val="24"/>
        </w:rPr>
      </w:pPr>
    </w:p>
    <w:p w14:paraId="297414B5">
      <w:pPr>
        <w:rPr>
          <w:rFonts w:ascii="宋体" w:hAnsi="宋体" w:cs="宋体"/>
          <w:sz w:val="24"/>
          <w:szCs w:val="24"/>
        </w:rPr>
      </w:pPr>
    </w:p>
    <w:p w14:paraId="5CC8B8B6">
      <w:pPr>
        <w:rPr>
          <w:rFonts w:ascii="宋体" w:hAnsi="宋体" w:cs="宋体"/>
          <w:sz w:val="24"/>
          <w:szCs w:val="24"/>
        </w:rPr>
      </w:pPr>
    </w:p>
    <w:p w14:paraId="17DEEAE8">
      <w:pPr>
        <w:rPr>
          <w:rFonts w:ascii="宋体" w:hAnsi="宋体" w:cs="宋体"/>
          <w:sz w:val="24"/>
          <w:szCs w:val="24"/>
        </w:rPr>
      </w:pPr>
    </w:p>
    <w:p w14:paraId="708FDCF6">
      <w:pPr>
        <w:rPr>
          <w:rFonts w:ascii="宋体" w:hAnsi="宋体" w:cs="宋体"/>
          <w:sz w:val="24"/>
          <w:szCs w:val="24"/>
        </w:rPr>
      </w:pPr>
    </w:p>
    <w:p w14:paraId="4059F189">
      <w:pPr>
        <w:rPr>
          <w:rFonts w:ascii="宋体" w:hAnsi="宋体" w:cs="宋体"/>
          <w:sz w:val="24"/>
          <w:szCs w:val="24"/>
        </w:rPr>
      </w:pPr>
    </w:p>
    <w:p w14:paraId="4C11D7BF">
      <w:pPr>
        <w:rPr>
          <w:rFonts w:ascii="宋体" w:hAnsi="宋体" w:cs="宋体"/>
          <w:sz w:val="24"/>
          <w:szCs w:val="24"/>
        </w:rPr>
      </w:pPr>
    </w:p>
    <w:p w14:paraId="6721E997">
      <w:pPr>
        <w:rPr>
          <w:rFonts w:ascii="宋体" w:hAnsi="宋体" w:cs="宋体"/>
          <w:sz w:val="24"/>
          <w:szCs w:val="24"/>
        </w:rPr>
      </w:pPr>
    </w:p>
    <w:p w14:paraId="27900BB9">
      <w:pPr>
        <w:rPr>
          <w:rFonts w:ascii="宋体" w:hAnsi="宋体" w:cs="宋体"/>
          <w:sz w:val="24"/>
          <w:szCs w:val="24"/>
        </w:rPr>
      </w:pPr>
    </w:p>
    <w:p w14:paraId="2AB54FB1">
      <w:pPr>
        <w:rPr>
          <w:rFonts w:ascii="宋体" w:hAnsi="宋体" w:cs="宋体"/>
          <w:sz w:val="24"/>
          <w:szCs w:val="24"/>
        </w:rPr>
      </w:pPr>
    </w:p>
    <w:p w14:paraId="1E0D351A">
      <w:pPr>
        <w:rPr>
          <w:rFonts w:ascii="宋体" w:hAnsi="宋体" w:cs="宋体"/>
          <w:sz w:val="24"/>
          <w:szCs w:val="24"/>
        </w:rPr>
      </w:pPr>
    </w:p>
    <w:p w14:paraId="0C15C7C4">
      <w:pPr>
        <w:rPr>
          <w:rFonts w:ascii="宋体" w:hAnsi="宋体" w:cs="宋体"/>
          <w:sz w:val="24"/>
          <w:szCs w:val="24"/>
        </w:rPr>
      </w:pPr>
    </w:p>
    <w:p w14:paraId="63FDB045">
      <w:pPr>
        <w:rPr>
          <w:rFonts w:ascii="宋体" w:hAnsi="宋体" w:cs="宋体"/>
          <w:sz w:val="24"/>
          <w:szCs w:val="24"/>
        </w:rPr>
      </w:pPr>
    </w:p>
    <w:p w14:paraId="225CDB99">
      <w:pPr>
        <w:rPr>
          <w:rFonts w:ascii="宋体" w:hAnsi="宋体" w:cs="宋体"/>
          <w:sz w:val="24"/>
          <w:szCs w:val="24"/>
        </w:rPr>
      </w:pPr>
    </w:p>
    <w:p w14:paraId="61EAF9E9">
      <w:pPr>
        <w:rPr>
          <w:rFonts w:ascii="宋体" w:hAnsi="宋体" w:cs="宋体"/>
          <w:sz w:val="24"/>
          <w:szCs w:val="24"/>
        </w:rPr>
      </w:pPr>
    </w:p>
    <w:p w14:paraId="35E24762">
      <w:pPr>
        <w:rPr>
          <w:rFonts w:ascii="宋体" w:hAnsi="宋体" w:cs="宋体"/>
          <w:sz w:val="24"/>
          <w:szCs w:val="24"/>
        </w:rPr>
      </w:pPr>
    </w:p>
    <w:p w14:paraId="112ACAF3">
      <w:pPr>
        <w:rPr>
          <w:rFonts w:ascii="宋体" w:hAnsi="宋体" w:cs="宋体"/>
          <w:sz w:val="24"/>
          <w:szCs w:val="24"/>
        </w:rPr>
      </w:pPr>
    </w:p>
    <w:p w14:paraId="5839D6C7">
      <w:pPr>
        <w:rPr>
          <w:rFonts w:ascii="宋体" w:hAnsi="宋体" w:cs="宋体"/>
          <w:sz w:val="24"/>
          <w:szCs w:val="24"/>
        </w:rPr>
      </w:pPr>
    </w:p>
    <w:p w14:paraId="6AFA1452">
      <w:pPr>
        <w:rPr>
          <w:rFonts w:ascii="宋体" w:hAnsi="宋体" w:cs="宋体"/>
          <w:sz w:val="24"/>
          <w:szCs w:val="24"/>
        </w:rPr>
      </w:pPr>
    </w:p>
    <w:p w14:paraId="5A4ADC00">
      <w:pPr>
        <w:rPr>
          <w:rFonts w:ascii="宋体" w:hAnsi="宋体" w:cs="宋体"/>
          <w:sz w:val="24"/>
          <w:szCs w:val="24"/>
        </w:rPr>
      </w:pPr>
    </w:p>
    <w:p w14:paraId="59271C86">
      <w:pPr>
        <w:rPr>
          <w:rFonts w:ascii="宋体" w:hAnsi="宋体" w:cs="宋体"/>
          <w:sz w:val="24"/>
          <w:szCs w:val="24"/>
        </w:rPr>
      </w:pPr>
    </w:p>
    <w:p w14:paraId="1DF1CFFD">
      <w:pPr>
        <w:rPr>
          <w:rFonts w:ascii="宋体" w:hAnsi="宋体" w:cs="宋体"/>
          <w:sz w:val="24"/>
          <w:szCs w:val="24"/>
        </w:rPr>
      </w:pPr>
    </w:p>
    <w:p w14:paraId="3A6E8BC4">
      <w:pPr>
        <w:rPr>
          <w:rFonts w:ascii="宋体" w:hAnsi="宋体" w:cs="宋体"/>
          <w:sz w:val="24"/>
          <w:szCs w:val="24"/>
        </w:rPr>
      </w:pPr>
    </w:p>
    <w:p w14:paraId="2FDB30D2">
      <w:pPr>
        <w:outlineLvl w:val="1"/>
        <w:rPr>
          <w:rFonts w:ascii="宋体" w:hAnsi="宋体" w:cs="宋体"/>
          <w:b/>
          <w:sz w:val="32"/>
          <w:szCs w:val="32"/>
        </w:rPr>
      </w:pPr>
      <w:bookmarkStart w:id="240" w:name="_Toc9295"/>
      <w:bookmarkStart w:id="241" w:name="_Toc9005"/>
      <w:r>
        <w:rPr>
          <w:rFonts w:hint="eastAsia" w:ascii="宋体" w:hAnsi="宋体" w:cs="宋体"/>
          <w:iCs/>
          <w:sz w:val="32"/>
          <w:szCs w:val="32"/>
        </w:rPr>
        <w:t>八、技术要求响应及偏离表</w:t>
      </w:r>
      <w:bookmarkEnd w:id="225"/>
      <w:bookmarkEnd w:id="240"/>
      <w:bookmarkEnd w:id="241"/>
    </w:p>
    <w:tbl>
      <w:tblPr>
        <w:tblStyle w:val="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6E03D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8EB08E3">
            <w:pPr>
              <w:jc w:val="center"/>
              <w:rPr>
                <w:rFonts w:ascii="宋体" w:hAnsi="宋体" w:cs="宋体"/>
                <w:sz w:val="24"/>
                <w:szCs w:val="24"/>
              </w:rPr>
            </w:pPr>
            <w:bookmarkStart w:id="242" w:name="_Hlt26580838"/>
            <w:bookmarkEnd w:id="242"/>
            <w:bookmarkStart w:id="243" w:name="_Hlt26782999"/>
            <w:bookmarkEnd w:id="243"/>
            <w:bookmarkStart w:id="244" w:name="_Hlt26671343"/>
            <w:bookmarkEnd w:id="244"/>
            <w:bookmarkStart w:id="245" w:name="_Hlt26955064"/>
            <w:bookmarkEnd w:id="245"/>
            <w:bookmarkStart w:id="246" w:name="_Hlt26955056"/>
            <w:bookmarkEnd w:id="246"/>
            <w:bookmarkStart w:id="247" w:name="_Hlt26671372"/>
            <w:bookmarkEnd w:id="247"/>
            <w:bookmarkStart w:id="248" w:name="_Hlt26609391"/>
            <w:bookmarkEnd w:id="248"/>
            <w:bookmarkStart w:id="249" w:name="_Hlt26955054"/>
            <w:bookmarkEnd w:id="249"/>
            <w:bookmarkStart w:id="250" w:name="_Hlt24879081"/>
            <w:bookmarkEnd w:id="250"/>
            <w:r>
              <w:rPr>
                <w:rFonts w:hint="eastAsia" w:ascii="宋体" w:hAnsi="宋体" w:cs="宋体"/>
                <w:sz w:val="24"/>
                <w:szCs w:val="24"/>
              </w:rPr>
              <w:t>序号</w:t>
            </w:r>
          </w:p>
        </w:tc>
        <w:tc>
          <w:tcPr>
            <w:tcW w:w="3291" w:type="dxa"/>
            <w:noWrap w:val="0"/>
            <w:vAlign w:val="center"/>
          </w:tcPr>
          <w:p w14:paraId="5A6287A8">
            <w:pPr>
              <w:pStyle w:val="329"/>
              <w:spacing w:before="0" w:beforeAutospacing="0" w:after="0" w:afterAutospacing="0"/>
              <w:jc w:val="center"/>
            </w:pPr>
            <w:r>
              <w:rPr>
                <w:rFonts w:hint="eastAsia"/>
              </w:rPr>
              <w:t>采购文件的技术要求</w:t>
            </w:r>
          </w:p>
        </w:tc>
        <w:tc>
          <w:tcPr>
            <w:tcW w:w="2852" w:type="dxa"/>
            <w:noWrap w:val="0"/>
            <w:vAlign w:val="center"/>
          </w:tcPr>
          <w:p w14:paraId="64E36793">
            <w:pPr>
              <w:pStyle w:val="329"/>
              <w:spacing w:before="0" w:beforeAutospacing="0" w:after="0" w:afterAutospacing="0"/>
              <w:jc w:val="center"/>
            </w:pPr>
            <w:r>
              <w:rPr>
                <w:rFonts w:hint="eastAsia"/>
              </w:rPr>
              <w:t>响应情况（填报“响应或完全响应”）</w:t>
            </w:r>
          </w:p>
        </w:tc>
        <w:tc>
          <w:tcPr>
            <w:tcW w:w="1308" w:type="dxa"/>
            <w:noWrap w:val="0"/>
            <w:vAlign w:val="center"/>
          </w:tcPr>
          <w:p w14:paraId="4012EE5D">
            <w:pPr>
              <w:pStyle w:val="329"/>
              <w:spacing w:before="0" w:beforeAutospacing="0" w:after="0" w:afterAutospacing="0"/>
              <w:jc w:val="center"/>
            </w:pPr>
            <w:r>
              <w:rPr>
                <w:rFonts w:hint="eastAsia"/>
              </w:rPr>
              <w:t>偏离（填报“正偏离、符合或负偏离”）</w:t>
            </w:r>
          </w:p>
        </w:tc>
        <w:tc>
          <w:tcPr>
            <w:tcW w:w="1173" w:type="dxa"/>
            <w:noWrap w:val="0"/>
            <w:vAlign w:val="center"/>
          </w:tcPr>
          <w:p w14:paraId="62AEA6E0">
            <w:pPr>
              <w:jc w:val="center"/>
              <w:rPr>
                <w:rFonts w:ascii="宋体" w:hAnsi="宋体" w:cs="宋体"/>
                <w:sz w:val="24"/>
                <w:szCs w:val="24"/>
              </w:rPr>
            </w:pPr>
            <w:r>
              <w:rPr>
                <w:rFonts w:hint="eastAsia" w:ascii="宋体" w:hAnsi="宋体" w:cs="宋体"/>
                <w:sz w:val="24"/>
                <w:szCs w:val="24"/>
              </w:rPr>
              <w:t>证明</w:t>
            </w:r>
          </w:p>
          <w:p w14:paraId="3863E120">
            <w:pPr>
              <w:jc w:val="center"/>
              <w:rPr>
                <w:rFonts w:ascii="宋体" w:hAnsi="宋体" w:cs="宋体"/>
                <w:sz w:val="24"/>
                <w:szCs w:val="24"/>
              </w:rPr>
            </w:pPr>
            <w:r>
              <w:rPr>
                <w:rFonts w:hint="eastAsia" w:ascii="宋体" w:hAnsi="宋体" w:cs="宋体"/>
                <w:sz w:val="24"/>
                <w:szCs w:val="24"/>
              </w:rPr>
              <w:t>材料</w:t>
            </w:r>
          </w:p>
        </w:tc>
      </w:tr>
      <w:tr w14:paraId="33A37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C33BF2B">
            <w:pPr>
              <w:jc w:val="center"/>
              <w:rPr>
                <w:rFonts w:ascii="宋体" w:hAnsi="宋体" w:cs="宋体"/>
                <w:sz w:val="24"/>
                <w:szCs w:val="24"/>
              </w:rPr>
            </w:pPr>
          </w:p>
        </w:tc>
        <w:tc>
          <w:tcPr>
            <w:tcW w:w="3291" w:type="dxa"/>
            <w:noWrap w:val="0"/>
          </w:tcPr>
          <w:p w14:paraId="05CE3C86">
            <w:pPr>
              <w:jc w:val="center"/>
              <w:rPr>
                <w:rFonts w:ascii="宋体" w:hAnsi="宋体" w:cs="宋体"/>
                <w:sz w:val="24"/>
                <w:szCs w:val="24"/>
              </w:rPr>
            </w:pPr>
          </w:p>
        </w:tc>
        <w:tc>
          <w:tcPr>
            <w:tcW w:w="2852" w:type="dxa"/>
            <w:noWrap w:val="0"/>
          </w:tcPr>
          <w:p w14:paraId="62044191">
            <w:pPr>
              <w:jc w:val="center"/>
              <w:rPr>
                <w:rFonts w:ascii="宋体" w:hAnsi="宋体" w:cs="宋体"/>
                <w:sz w:val="24"/>
                <w:szCs w:val="24"/>
              </w:rPr>
            </w:pPr>
          </w:p>
        </w:tc>
        <w:tc>
          <w:tcPr>
            <w:tcW w:w="1308" w:type="dxa"/>
            <w:noWrap w:val="0"/>
          </w:tcPr>
          <w:p w14:paraId="18286649">
            <w:pPr>
              <w:jc w:val="center"/>
              <w:rPr>
                <w:rFonts w:ascii="宋体" w:hAnsi="宋体" w:cs="宋体"/>
                <w:sz w:val="24"/>
                <w:szCs w:val="24"/>
              </w:rPr>
            </w:pPr>
          </w:p>
        </w:tc>
        <w:tc>
          <w:tcPr>
            <w:tcW w:w="1173" w:type="dxa"/>
            <w:noWrap w:val="0"/>
          </w:tcPr>
          <w:p w14:paraId="0EE84355">
            <w:pPr>
              <w:jc w:val="center"/>
              <w:rPr>
                <w:rFonts w:ascii="宋体" w:hAnsi="宋体" w:cs="宋体"/>
                <w:sz w:val="24"/>
                <w:szCs w:val="24"/>
              </w:rPr>
            </w:pPr>
          </w:p>
        </w:tc>
      </w:tr>
      <w:tr w14:paraId="3BFFC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574EA2C">
            <w:pPr>
              <w:jc w:val="center"/>
              <w:rPr>
                <w:rFonts w:ascii="宋体" w:hAnsi="宋体" w:cs="宋体"/>
                <w:sz w:val="24"/>
                <w:szCs w:val="24"/>
              </w:rPr>
            </w:pPr>
          </w:p>
        </w:tc>
        <w:tc>
          <w:tcPr>
            <w:tcW w:w="3291" w:type="dxa"/>
            <w:noWrap w:val="0"/>
          </w:tcPr>
          <w:p w14:paraId="55979D5B">
            <w:pPr>
              <w:jc w:val="center"/>
              <w:rPr>
                <w:rFonts w:ascii="宋体" w:hAnsi="宋体" w:cs="宋体"/>
                <w:sz w:val="24"/>
                <w:szCs w:val="24"/>
              </w:rPr>
            </w:pPr>
          </w:p>
        </w:tc>
        <w:tc>
          <w:tcPr>
            <w:tcW w:w="2852" w:type="dxa"/>
            <w:noWrap w:val="0"/>
          </w:tcPr>
          <w:p w14:paraId="40EFDEBF">
            <w:pPr>
              <w:jc w:val="center"/>
              <w:rPr>
                <w:rFonts w:ascii="宋体" w:hAnsi="宋体" w:cs="宋体"/>
                <w:sz w:val="24"/>
                <w:szCs w:val="24"/>
              </w:rPr>
            </w:pPr>
          </w:p>
        </w:tc>
        <w:tc>
          <w:tcPr>
            <w:tcW w:w="1308" w:type="dxa"/>
            <w:noWrap w:val="0"/>
          </w:tcPr>
          <w:p w14:paraId="6DCDC76D">
            <w:pPr>
              <w:jc w:val="center"/>
              <w:rPr>
                <w:rFonts w:ascii="宋体" w:hAnsi="宋体" w:cs="宋体"/>
                <w:sz w:val="24"/>
                <w:szCs w:val="24"/>
              </w:rPr>
            </w:pPr>
          </w:p>
        </w:tc>
        <w:tc>
          <w:tcPr>
            <w:tcW w:w="1173" w:type="dxa"/>
            <w:noWrap w:val="0"/>
          </w:tcPr>
          <w:p w14:paraId="27EA61F4">
            <w:pPr>
              <w:jc w:val="center"/>
              <w:rPr>
                <w:rFonts w:ascii="宋体" w:hAnsi="宋体" w:cs="宋体"/>
                <w:sz w:val="24"/>
                <w:szCs w:val="24"/>
              </w:rPr>
            </w:pPr>
          </w:p>
        </w:tc>
      </w:tr>
      <w:tr w14:paraId="71E94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CD37F51">
            <w:pPr>
              <w:jc w:val="center"/>
              <w:rPr>
                <w:rFonts w:ascii="宋体" w:hAnsi="宋体" w:cs="宋体"/>
                <w:sz w:val="24"/>
                <w:szCs w:val="24"/>
              </w:rPr>
            </w:pPr>
          </w:p>
        </w:tc>
        <w:tc>
          <w:tcPr>
            <w:tcW w:w="3291" w:type="dxa"/>
            <w:noWrap w:val="0"/>
          </w:tcPr>
          <w:p w14:paraId="37DE5A26">
            <w:pPr>
              <w:jc w:val="center"/>
              <w:rPr>
                <w:rFonts w:ascii="宋体" w:hAnsi="宋体" w:cs="宋体"/>
                <w:sz w:val="24"/>
                <w:szCs w:val="24"/>
              </w:rPr>
            </w:pPr>
          </w:p>
        </w:tc>
        <w:tc>
          <w:tcPr>
            <w:tcW w:w="2852" w:type="dxa"/>
            <w:noWrap w:val="0"/>
          </w:tcPr>
          <w:p w14:paraId="0DE17BA2">
            <w:pPr>
              <w:jc w:val="center"/>
              <w:rPr>
                <w:rFonts w:ascii="宋体" w:hAnsi="宋体" w:cs="宋体"/>
                <w:sz w:val="24"/>
                <w:szCs w:val="24"/>
              </w:rPr>
            </w:pPr>
          </w:p>
        </w:tc>
        <w:tc>
          <w:tcPr>
            <w:tcW w:w="1308" w:type="dxa"/>
            <w:noWrap w:val="0"/>
          </w:tcPr>
          <w:p w14:paraId="11623BE0">
            <w:pPr>
              <w:jc w:val="center"/>
              <w:rPr>
                <w:rFonts w:ascii="宋体" w:hAnsi="宋体" w:cs="宋体"/>
                <w:sz w:val="24"/>
                <w:szCs w:val="24"/>
              </w:rPr>
            </w:pPr>
          </w:p>
        </w:tc>
        <w:tc>
          <w:tcPr>
            <w:tcW w:w="1173" w:type="dxa"/>
            <w:noWrap w:val="0"/>
          </w:tcPr>
          <w:p w14:paraId="1BC8C4AC">
            <w:pPr>
              <w:jc w:val="center"/>
              <w:rPr>
                <w:rFonts w:ascii="宋体" w:hAnsi="宋体" w:cs="宋体"/>
                <w:sz w:val="24"/>
                <w:szCs w:val="24"/>
              </w:rPr>
            </w:pPr>
          </w:p>
        </w:tc>
      </w:tr>
      <w:tr w14:paraId="2F076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B6966B7">
            <w:pPr>
              <w:jc w:val="center"/>
              <w:rPr>
                <w:rFonts w:ascii="宋体" w:hAnsi="宋体" w:cs="宋体"/>
                <w:sz w:val="24"/>
                <w:szCs w:val="24"/>
              </w:rPr>
            </w:pPr>
          </w:p>
        </w:tc>
        <w:tc>
          <w:tcPr>
            <w:tcW w:w="3291" w:type="dxa"/>
            <w:noWrap w:val="0"/>
          </w:tcPr>
          <w:p w14:paraId="368C8F5C">
            <w:pPr>
              <w:jc w:val="center"/>
              <w:rPr>
                <w:rFonts w:ascii="宋体" w:hAnsi="宋体" w:cs="宋体"/>
                <w:sz w:val="24"/>
                <w:szCs w:val="24"/>
              </w:rPr>
            </w:pPr>
          </w:p>
        </w:tc>
        <w:tc>
          <w:tcPr>
            <w:tcW w:w="2852" w:type="dxa"/>
            <w:noWrap w:val="0"/>
          </w:tcPr>
          <w:p w14:paraId="6B4D28EF">
            <w:pPr>
              <w:jc w:val="center"/>
              <w:rPr>
                <w:rFonts w:ascii="宋体" w:hAnsi="宋体" w:cs="宋体"/>
                <w:sz w:val="24"/>
                <w:szCs w:val="24"/>
              </w:rPr>
            </w:pPr>
          </w:p>
        </w:tc>
        <w:tc>
          <w:tcPr>
            <w:tcW w:w="1308" w:type="dxa"/>
            <w:noWrap w:val="0"/>
          </w:tcPr>
          <w:p w14:paraId="7C70D548">
            <w:pPr>
              <w:jc w:val="center"/>
              <w:rPr>
                <w:rFonts w:ascii="宋体" w:hAnsi="宋体" w:cs="宋体"/>
                <w:sz w:val="24"/>
                <w:szCs w:val="24"/>
              </w:rPr>
            </w:pPr>
          </w:p>
        </w:tc>
        <w:tc>
          <w:tcPr>
            <w:tcW w:w="1173" w:type="dxa"/>
            <w:noWrap w:val="0"/>
          </w:tcPr>
          <w:p w14:paraId="7C03F748">
            <w:pPr>
              <w:jc w:val="center"/>
              <w:rPr>
                <w:rFonts w:ascii="宋体" w:hAnsi="宋体" w:cs="宋体"/>
                <w:sz w:val="24"/>
                <w:szCs w:val="24"/>
              </w:rPr>
            </w:pPr>
          </w:p>
        </w:tc>
      </w:tr>
      <w:tr w14:paraId="34704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66B84BC">
            <w:pPr>
              <w:jc w:val="center"/>
              <w:rPr>
                <w:rFonts w:ascii="宋体" w:hAnsi="宋体" w:cs="宋体"/>
                <w:sz w:val="24"/>
                <w:szCs w:val="24"/>
              </w:rPr>
            </w:pPr>
          </w:p>
        </w:tc>
        <w:tc>
          <w:tcPr>
            <w:tcW w:w="3291" w:type="dxa"/>
            <w:noWrap w:val="0"/>
          </w:tcPr>
          <w:p w14:paraId="60D35A9A">
            <w:pPr>
              <w:jc w:val="center"/>
              <w:rPr>
                <w:rFonts w:ascii="宋体" w:hAnsi="宋体" w:cs="宋体"/>
                <w:sz w:val="24"/>
                <w:szCs w:val="24"/>
              </w:rPr>
            </w:pPr>
          </w:p>
        </w:tc>
        <w:tc>
          <w:tcPr>
            <w:tcW w:w="2852" w:type="dxa"/>
            <w:noWrap w:val="0"/>
          </w:tcPr>
          <w:p w14:paraId="1E333381">
            <w:pPr>
              <w:jc w:val="center"/>
              <w:rPr>
                <w:rFonts w:ascii="宋体" w:hAnsi="宋体" w:cs="宋体"/>
                <w:sz w:val="24"/>
                <w:szCs w:val="24"/>
              </w:rPr>
            </w:pPr>
          </w:p>
        </w:tc>
        <w:tc>
          <w:tcPr>
            <w:tcW w:w="1308" w:type="dxa"/>
            <w:noWrap w:val="0"/>
          </w:tcPr>
          <w:p w14:paraId="26166789">
            <w:pPr>
              <w:jc w:val="center"/>
              <w:rPr>
                <w:rFonts w:ascii="宋体" w:hAnsi="宋体" w:cs="宋体"/>
                <w:sz w:val="24"/>
                <w:szCs w:val="24"/>
              </w:rPr>
            </w:pPr>
          </w:p>
        </w:tc>
        <w:tc>
          <w:tcPr>
            <w:tcW w:w="1173" w:type="dxa"/>
            <w:noWrap w:val="0"/>
          </w:tcPr>
          <w:p w14:paraId="123CCB02">
            <w:pPr>
              <w:jc w:val="center"/>
              <w:rPr>
                <w:rFonts w:ascii="宋体" w:hAnsi="宋体" w:cs="宋体"/>
                <w:sz w:val="24"/>
                <w:szCs w:val="24"/>
              </w:rPr>
            </w:pPr>
          </w:p>
        </w:tc>
      </w:tr>
      <w:tr w14:paraId="4D27C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9F838A4">
            <w:pPr>
              <w:jc w:val="center"/>
              <w:rPr>
                <w:rFonts w:ascii="宋体" w:hAnsi="宋体" w:cs="宋体"/>
                <w:sz w:val="24"/>
                <w:szCs w:val="24"/>
              </w:rPr>
            </w:pPr>
          </w:p>
        </w:tc>
        <w:tc>
          <w:tcPr>
            <w:tcW w:w="3291" w:type="dxa"/>
            <w:noWrap w:val="0"/>
          </w:tcPr>
          <w:p w14:paraId="301E6C32">
            <w:pPr>
              <w:jc w:val="center"/>
              <w:rPr>
                <w:rFonts w:ascii="宋体" w:hAnsi="宋体" w:cs="宋体"/>
                <w:sz w:val="24"/>
                <w:szCs w:val="24"/>
              </w:rPr>
            </w:pPr>
          </w:p>
        </w:tc>
        <w:tc>
          <w:tcPr>
            <w:tcW w:w="2852" w:type="dxa"/>
            <w:noWrap w:val="0"/>
          </w:tcPr>
          <w:p w14:paraId="7EB92A9B">
            <w:pPr>
              <w:jc w:val="center"/>
              <w:rPr>
                <w:rFonts w:ascii="宋体" w:hAnsi="宋体" w:cs="宋体"/>
                <w:sz w:val="24"/>
                <w:szCs w:val="24"/>
              </w:rPr>
            </w:pPr>
          </w:p>
        </w:tc>
        <w:tc>
          <w:tcPr>
            <w:tcW w:w="1308" w:type="dxa"/>
            <w:noWrap w:val="0"/>
          </w:tcPr>
          <w:p w14:paraId="20008A7D">
            <w:pPr>
              <w:jc w:val="center"/>
              <w:rPr>
                <w:rFonts w:ascii="宋体" w:hAnsi="宋体" w:cs="宋体"/>
                <w:sz w:val="24"/>
                <w:szCs w:val="24"/>
              </w:rPr>
            </w:pPr>
          </w:p>
        </w:tc>
        <w:tc>
          <w:tcPr>
            <w:tcW w:w="1173" w:type="dxa"/>
            <w:noWrap w:val="0"/>
          </w:tcPr>
          <w:p w14:paraId="2EBBBB0D">
            <w:pPr>
              <w:jc w:val="center"/>
              <w:rPr>
                <w:rFonts w:ascii="宋体" w:hAnsi="宋体" w:cs="宋体"/>
                <w:sz w:val="24"/>
                <w:szCs w:val="24"/>
              </w:rPr>
            </w:pPr>
          </w:p>
        </w:tc>
      </w:tr>
      <w:tr w14:paraId="24909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5BC61FE3">
            <w:pPr>
              <w:jc w:val="center"/>
              <w:rPr>
                <w:rFonts w:ascii="宋体" w:hAnsi="宋体" w:cs="宋体"/>
                <w:sz w:val="24"/>
                <w:szCs w:val="24"/>
              </w:rPr>
            </w:pPr>
          </w:p>
        </w:tc>
        <w:tc>
          <w:tcPr>
            <w:tcW w:w="3291" w:type="dxa"/>
            <w:noWrap w:val="0"/>
          </w:tcPr>
          <w:p w14:paraId="0AA864D1">
            <w:pPr>
              <w:jc w:val="center"/>
              <w:rPr>
                <w:rFonts w:ascii="宋体" w:hAnsi="宋体" w:cs="宋体"/>
                <w:sz w:val="24"/>
                <w:szCs w:val="24"/>
              </w:rPr>
            </w:pPr>
          </w:p>
        </w:tc>
        <w:tc>
          <w:tcPr>
            <w:tcW w:w="2852" w:type="dxa"/>
            <w:noWrap w:val="0"/>
          </w:tcPr>
          <w:p w14:paraId="095025F2">
            <w:pPr>
              <w:jc w:val="center"/>
              <w:rPr>
                <w:rFonts w:ascii="宋体" w:hAnsi="宋体" w:cs="宋体"/>
                <w:sz w:val="24"/>
                <w:szCs w:val="24"/>
              </w:rPr>
            </w:pPr>
          </w:p>
        </w:tc>
        <w:tc>
          <w:tcPr>
            <w:tcW w:w="1308" w:type="dxa"/>
            <w:noWrap w:val="0"/>
          </w:tcPr>
          <w:p w14:paraId="09CF05FF">
            <w:pPr>
              <w:jc w:val="center"/>
              <w:rPr>
                <w:rFonts w:ascii="宋体" w:hAnsi="宋体" w:cs="宋体"/>
                <w:sz w:val="24"/>
                <w:szCs w:val="24"/>
              </w:rPr>
            </w:pPr>
          </w:p>
        </w:tc>
        <w:tc>
          <w:tcPr>
            <w:tcW w:w="1173" w:type="dxa"/>
            <w:noWrap w:val="0"/>
          </w:tcPr>
          <w:p w14:paraId="6DA949C1">
            <w:pPr>
              <w:jc w:val="center"/>
              <w:rPr>
                <w:rFonts w:ascii="宋体" w:hAnsi="宋体" w:cs="宋体"/>
                <w:sz w:val="24"/>
                <w:szCs w:val="24"/>
              </w:rPr>
            </w:pPr>
          </w:p>
        </w:tc>
      </w:tr>
      <w:tr w14:paraId="2C48D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632CDBA">
            <w:pPr>
              <w:jc w:val="center"/>
              <w:rPr>
                <w:rFonts w:ascii="宋体" w:hAnsi="宋体" w:cs="宋体"/>
                <w:sz w:val="24"/>
                <w:szCs w:val="24"/>
              </w:rPr>
            </w:pPr>
          </w:p>
        </w:tc>
        <w:tc>
          <w:tcPr>
            <w:tcW w:w="3291" w:type="dxa"/>
            <w:noWrap w:val="0"/>
          </w:tcPr>
          <w:p w14:paraId="25CE5A89">
            <w:pPr>
              <w:jc w:val="center"/>
              <w:rPr>
                <w:rFonts w:ascii="宋体" w:hAnsi="宋体" w:cs="宋体"/>
                <w:sz w:val="24"/>
                <w:szCs w:val="24"/>
              </w:rPr>
            </w:pPr>
            <w:r>
              <w:rPr>
                <w:rFonts w:hint="eastAsia" w:ascii="宋体" w:hAnsi="宋体" w:cs="宋体"/>
                <w:sz w:val="24"/>
                <w:szCs w:val="24"/>
              </w:rPr>
              <w:t>……</w:t>
            </w:r>
          </w:p>
        </w:tc>
        <w:tc>
          <w:tcPr>
            <w:tcW w:w="2852" w:type="dxa"/>
            <w:noWrap w:val="0"/>
          </w:tcPr>
          <w:p w14:paraId="38A28C37">
            <w:pPr>
              <w:jc w:val="center"/>
              <w:rPr>
                <w:rFonts w:ascii="宋体" w:hAnsi="宋体" w:cs="宋体"/>
                <w:sz w:val="24"/>
                <w:szCs w:val="24"/>
              </w:rPr>
            </w:pPr>
          </w:p>
        </w:tc>
        <w:tc>
          <w:tcPr>
            <w:tcW w:w="1308" w:type="dxa"/>
            <w:noWrap w:val="0"/>
          </w:tcPr>
          <w:p w14:paraId="01D3FFE3">
            <w:pPr>
              <w:jc w:val="center"/>
              <w:rPr>
                <w:rFonts w:ascii="宋体" w:hAnsi="宋体" w:cs="宋体"/>
                <w:sz w:val="24"/>
                <w:szCs w:val="24"/>
              </w:rPr>
            </w:pPr>
          </w:p>
        </w:tc>
        <w:tc>
          <w:tcPr>
            <w:tcW w:w="1173" w:type="dxa"/>
            <w:noWrap w:val="0"/>
          </w:tcPr>
          <w:p w14:paraId="1565D47B">
            <w:pPr>
              <w:jc w:val="center"/>
              <w:rPr>
                <w:rFonts w:ascii="宋体" w:hAnsi="宋体" w:cs="宋体"/>
                <w:sz w:val="24"/>
                <w:szCs w:val="24"/>
              </w:rPr>
            </w:pPr>
          </w:p>
        </w:tc>
      </w:tr>
    </w:tbl>
    <w:p w14:paraId="1866BD67">
      <w:pPr>
        <w:spacing w:line="588" w:lineRule="exact"/>
        <w:rPr>
          <w:rFonts w:ascii="宋体" w:hAnsi="宋体" w:cs="宋体"/>
          <w:sz w:val="24"/>
        </w:rPr>
      </w:pPr>
      <w:r>
        <w:rPr>
          <w:rFonts w:hint="eastAsia" w:ascii="宋体" w:hAnsi="宋体" w:cs="宋体"/>
          <w:sz w:val="24"/>
        </w:rPr>
        <w:t>1、凡响应文件中所提供工程或服务与磋商文件技术要求有偏离的，均应在此表中详细列出并说明理由（内容较多的可以标注见响应文件第几页），未在此表中列出的视同完全满足磋商文件要求。</w:t>
      </w:r>
    </w:p>
    <w:p w14:paraId="01F5A73D">
      <w:pPr>
        <w:spacing w:line="588" w:lineRule="exact"/>
        <w:rPr>
          <w:rFonts w:ascii="宋体" w:hAnsi="宋体" w:cs="宋体"/>
          <w:sz w:val="24"/>
        </w:rPr>
      </w:pPr>
      <w:r>
        <w:rPr>
          <w:rFonts w:hint="eastAsia" w:ascii="宋体" w:hAnsi="宋体" w:cs="宋体"/>
          <w:sz w:val="24"/>
        </w:rPr>
        <w:t>2、如果磋商文件要求提供证明材料，供应商须在响应文件中提供证明材料。</w:t>
      </w:r>
    </w:p>
    <w:p w14:paraId="4CA5CB0A">
      <w:pPr>
        <w:spacing w:line="588" w:lineRule="exact"/>
        <w:rPr>
          <w:rFonts w:ascii="宋体" w:hAnsi="宋体" w:cs="宋体"/>
          <w:sz w:val="24"/>
        </w:rPr>
      </w:pPr>
      <w:r>
        <w:rPr>
          <w:rFonts w:hint="eastAsia" w:ascii="宋体" w:hAnsi="宋体" w:cs="宋体"/>
          <w:sz w:val="24"/>
        </w:rPr>
        <w:t>3、行数不够，可自行添加。</w:t>
      </w:r>
    </w:p>
    <w:p w14:paraId="1DA1E4C6">
      <w:pPr>
        <w:spacing w:line="480" w:lineRule="auto"/>
        <w:rPr>
          <w:rFonts w:ascii="宋体" w:hAnsi="宋体" w:cs="宋体"/>
          <w:sz w:val="24"/>
          <w:szCs w:val="21"/>
        </w:rPr>
      </w:pPr>
    </w:p>
    <w:p w14:paraId="30C5119A">
      <w:pPr>
        <w:spacing w:line="480" w:lineRule="auto"/>
        <w:rPr>
          <w:rFonts w:ascii="宋体" w:hAnsi="宋体" w:cs="宋体"/>
          <w:sz w:val="30"/>
          <w:szCs w:val="21"/>
        </w:rPr>
      </w:pPr>
    </w:p>
    <w:p w14:paraId="7B74B7AF">
      <w:pPr>
        <w:rPr>
          <w:rFonts w:ascii="宋体" w:hAnsi="宋体" w:cs="宋体"/>
          <w:sz w:val="24"/>
          <w:szCs w:val="21"/>
        </w:rPr>
      </w:pPr>
      <w:bookmarkStart w:id="251" w:name="_Hlt26609389"/>
      <w:bookmarkEnd w:id="251"/>
      <w:bookmarkStart w:id="252" w:name="_Hlt26671374"/>
      <w:bookmarkEnd w:id="252"/>
      <w:bookmarkStart w:id="253" w:name="_Toc462564146"/>
      <w:bookmarkEnd w:id="253"/>
      <w:bookmarkStart w:id="254" w:name="_Hlt26955066"/>
      <w:bookmarkEnd w:id="254"/>
    </w:p>
    <w:p w14:paraId="28EA6EB5">
      <w:pPr>
        <w:outlineLvl w:val="1"/>
        <w:rPr>
          <w:rFonts w:ascii="宋体" w:hAnsi="宋体" w:cs="宋体"/>
          <w:b/>
          <w:sz w:val="32"/>
          <w:szCs w:val="32"/>
        </w:rPr>
      </w:pPr>
      <w:bookmarkStart w:id="255" w:name="_格式2__法定代表人授权书"/>
      <w:bookmarkEnd w:id="255"/>
      <w:r>
        <w:rPr>
          <w:rFonts w:hint="eastAsia" w:ascii="宋体" w:hAnsi="宋体" w:cs="宋体"/>
          <w:szCs w:val="32"/>
        </w:rPr>
        <w:br w:type="page" w:clear="all"/>
      </w:r>
      <w:bookmarkStart w:id="256" w:name="_Toc28007"/>
      <w:bookmarkStart w:id="257" w:name="_Toc3811"/>
      <w:r>
        <w:rPr>
          <w:rFonts w:hint="eastAsia" w:ascii="宋体" w:hAnsi="宋体" w:cs="宋体"/>
          <w:iCs/>
          <w:sz w:val="32"/>
          <w:szCs w:val="32"/>
        </w:rPr>
        <w:t>九、商务要求响应及偏离表</w:t>
      </w:r>
      <w:bookmarkEnd w:id="256"/>
    </w:p>
    <w:tbl>
      <w:tblPr>
        <w:tblStyle w:val="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00344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3C0FC041">
            <w:pPr>
              <w:jc w:val="center"/>
              <w:rPr>
                <w:rFonts w:ascii="宋体" w:hAnsi="宋体" w:cs="宋体"/>
                <w:sz w:val="24"/>
                <w:szCs w:val="24"/>
              </w:rPr>
            </w:pPr>
            <w:r>
              <w:rPr>
                <w:rFonts w:hint="eastAsia" w:ascii="宋体" w:hAnsi="宋体" w:cs="宋体"/>
                <w:sz w:val="24"/>
                <w:szCs w:val="24"/>
              </w:rPr>
              <w:t>序号</w:t>
            </w:r>
          </w:p>
        </w:tc>
        <w:tc>
          <w:tcPr>
            <w:tcW w:w="3291" w:type="dxa"/>
            <w:noWrap w:val="0"/>
            <w:vAlign w:val="center"/>
          </w:tcPr>
          <w:p w14:paraId="0B83E94C">
            <w:pPr>
              <w:pStyle w:val="329"/>
              <w:spacing w:before="0" w:beforeAutospacing="0" w:after="0" w:afterAutospacing="0"/>
              <w:jc w:val="center"/>
            </w:pPr>
            <w:r>
              <w:rPr>
                <w:rFonts w:hint="eastAsia"/>
              </w:rPr>
              <w:t>采购文件的商务要求</w:t>
            </w:r>
          </w:p>
        </w:tc>
        <w:tc>
          <w:tcPr>
            <w:tcW w:w="2852" w:type="dxa"/>
            <w:noWrap w:val="0"/>
            <w:vAlign w:val="center"/>
          </w:tcPr>
          <w:p w14:paraId="4E44BBFC">
            <w:pPr>
              <w:pStyle w:val="329"/>
              <w:spacing w:before="0" w:beforeAutospacing="0" w:after="0" w:afterAutospacing="0"/>
              <w:jc w:val="center"/>
            </w:pPr>
            <w:r>
              <w:rPr>
                <w:rFonts w:hint="eastAsia"/>
              </w:rPr>
              <w:t>响应情况（填报“响应或完全响应”）</w:t>
            </w:r>
          </w:p>
        </w:tc>
        <w:tc>
          <w:tcPr>
            <w:tcW w:w="1308" w:type="dxa"/>
            <w:noWrap w:val="0"/>
            <w:vAlign w:val="center"/>
          </w:tcPr>
          <w:p w14:paraId="2BDF747F">
            <w:pPr>
              <w:pStyle w:val="329"/>
              <w:spacing w:before="0" w:beforeAutospacing="0" w:after="0" w:afterAutospacing="0"/>
              <w:jc w:val="center"/>
            </w:pPr>
            <w:r>
              <w:rPr>
                <w:rFonts w:hint="eastAsia"/>
              </w:rPr>
              <w:t>偏离（填报“正偏离、符合或负偏离”）</w:t>
            </w:r>
          </w:p>
        </w:tc>
        <w:tc>
          <w:tcPr>
            <w:tcW w:w="1173" w:type="dxa"/>
            <w:noWrap w:val="0"/>
            <w:vAlign w:val="center"/>
          </w:tcPr>
          <w:p w14:paraId="35EC2A5B">
            <w:pPr>
              <w:jc w:val="center"/>
              <w:rPr>
                <w:rFonts w:ascii="宋体" w:hAnsi="宋体" w:cs="宋体"/>
                <w:sz w:val="24"/>
                <w:szCs w:val="24"/>
              </w:rPr>
            </w:pPr>
            <w:r>
              <w:rPr>
                <w:rFonts w:hint="eastAsia" w:ascii="宋体" w:hAnsi="宋体" w:cs="宋体"/>
                <w:sz w:val="24"/>
                <w:szCs w:val="24"/>
              </w:rPr>
              <w:t>证明</w:t>
            </w:r>
          </w:p>
          <w:p w14:paraId="2EFF45BE">
            <w:pPr>
              <w:jc w:val="center"/>
              <w:rPr>
                <w:rFonts w:ascii="宋体" w:hAnsi="宋体" w:cs="宋体"/>
                <w:sz w:val="24"/>
                <w:szCs w:val="24"/>
              </w:rPr>
            </w:pPr>
            <w:r>
              <w:rPr>
                <w:rFonts w:hint="eastAsia" w:ascii="宋体" w:hAnsi="宋体" w:cs="宋体"/>
                <w:sz w:val="24"/>
                <w:szCs w:val="24"/>
              </w:rPr>
              <w:t>材料</w:t>
            </w:r>
          </w:p>
        </w:tc>
      </w:tr>
      <w:tr w14:paraId="7740C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770735F">
            <w:pPr>
              <w:jc w:val="center"/>
              <w:rPr>
                <w:rFonts w:ascii="宋体" w:hAnsi="宋体" w:cs="宋体"/>
                <w:sz w:val="24"/>
                <w:szCs w:val="24"/>
              </w:rPr>
            </w:pPr>
          </w:p>
        </w:tc>
        <w:tc>
          <w:tcPr>
            <w:tcW w:w="3291" w:type="dxa"/>
            <w:noWrap w:val="0"/>
          </w:tcPr>
          <w:p w14:paraId="5F97390F">
            <w:pPr>
              <w:jc w:val="center"/>
              <w:rPr>
                <w:rFonts w:ascii="宋体" w:hAnsi="宋体" w:cs="宋体"/>
                <w:sz w:val="24"/>
                <w:szCs w:val="24"/>
              </w:rPr>
            </w:pPr>
          </w:p>
        </w:tc>
        <w:tc>
          <w:tcPr>
            <w:tcW w:w="2852" w:type="dxa"/>
            <w:noWrap w:val="0"/>
          </w:tcPr>
          <w:p w14:paraId="3FCEF291">
            <w:pPr>
              <w:jc w:val="center"/>
              <w:rPr>
                <w:rFonts w:ascii="宋体" w:hAnsi="宋体" w:cs="宋体"/>
                <w:sz w:val="24"/>
                <w:szCs w:val="24"/>
              </w:rPr>
            </w:pPr>
          </w:p>
        </w:tc>
        <w:tc>
          <w:tcPr>
            <w:tcW w:w="1308" w:type="dxa"/>
            <w:noWrap w:val="0"/>
          </w:tcPr>
          <w:p w14:paraId="687C0D60">
            <w:pPr>
              <w:jc w:val="center"/>
              <w:rPr>
                <w:rFonts w:ascii="宋体" w:hAnsi="宋体" w:cs="宋体"/>
                <w:sz w:val="24"/>
                <w:szCs w:val="24"/>
              </w:rPr>
            </w:pPr>
          </w:p>
        </w:tc>
        <w:tc>
          <w:tcPr>
            <w:tcW w:w="1173" w:type="dxa"/>
            <w:noWrap w:val="0"/>
          </w:tcPr>
          <w:p w14:paraId="07CD88E8">
            <w:pPr>
              <w:jc w:val="center"/>
              <w:rPr>
                <w:rFonts w:ascii="宋体" w:hAnsi="宋体" w:cs="宋体"/>
                <w:sz w:val="24"/>
                <w:szCs w:val="24"/>
              </w:rPr>
            </w:pPr>
          </w:p>
        </w:tc>
      </w:tr>
      <w:tr w14:paraId="662F0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EBFE942">
            <w:pPr>
              <w:jc w:val="center"/>
              <w:rPr>
                <w:rFonts w:ascii="宋体" w:hAnsi="宋体" w:cs="宋体"/>
                <w:sz w:val="24"/>
                <w:szCs w:val="24"/>
              </w:rPr>
            </w:pPr>
          </w:p>
        </w:tc>
        <w:tc>
          <w:tcPr>
            <w:tcW w:w="3291" w:type="dxa"/>
            <w:noWrap w:val="0"/>
          </w:tcPr>
          <w:p w14:paraId="5B83B5B8">
            <w:pPr>
              <w:jc w:val="center"/>
              <w:rPr>
                <w:rFonts w:ascii="宋体" w:hAnsi="宋体" w:cs="宋体"/>
                <w:sz w:val="24"/>
                <w:szCs w:val="24"/>
              </w:rPr>
            </w:pPr>
          </w:p>
        </w:tc>
        <w:tc>
          <w:tcPr>
            <w:tcW w:w="2852" w:type="dxa"/>
            <w:noWrap w:val="0"/>
          </w:tcPr>
          <w:p w14:paraId="135C590C">
            <w:pPr>
              <w:jc w:val="center"/>
              <w:rPr>
                <w:rFonts w:ascii="宋体" w:hAnsi="宋体" w:cs="宋体"/>
                <w:sz w:val="24"/>
                <w:szCs w:val="24"/>
              </w:rPr>
            </w:pPr>
          </w:p>
        </w:tc>
        <w:tc>
          <w:tcPr>
            <w:tcW w:w="1308" w:type="dxa"/>
            <w:noWrap w:val="0"/>
          </w:tcPr>
          <w:p w14:paraId="427AA2A3">
            <w:pPr>
              <w:jc w:val="center"/>
              <w:rPr>
                <w:rFonts w:ascii="宋体" w:hAnsi="宋体" w:cs="宋体"/>
                <w:sz w:val="24"/>
                <w:szCs w:val="24"/>
              </w:rPr>
            </w:pPr>
          </w:p>
        </w:tc>
        <w:tc>
          <w:tcPr>
            <w:tcW w:w="1173" w:type="dxa"/>
            <w:noWrap w:val="0"/>
          </w:tcPr>
          <w:p w14:paraId="720A17D0">
            <w:pPr>
              <w:jc w:val="center"/>
              <w:rPr>
                <w:rFonts w:ascii="宋体" w:hAnsi="宋体" w:cs="宋体"/>
                <w:sz w:val="24"/>
                <w:szCs w:val="24"/>
              </w:rPr>
            </w:pPr>
          </w:p>
        </w:tc>
      </w:tr>
      <w:tr w14:paraId="2256B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3F9A708">
            <w:pPr>
              <w:jc w:val="center"/>
              <w:rPr>
                <w:rFonts w:ascii="宋体" w:hAnsi="宋体" w:cs="宋体"/>
                <w:sz w:val="24"/>
                <w:szCs w:val="24"/>
              </w:rPr>
            </w:pPr>
          </w:p>
        </w:tc>
        <w:tc>
          <w:tcPr>
            <w:tcW w:w="3291" w:type="dxa"/>
            <w:noWrap w:val="0"/>
          </w:tcPr>
          <w:p w14:paraId="42741239">
            <w:pPr>
              <w:jc w:val="center"/>
              <w:rPr>
                <w:rFonts w:ascii="宋体" w:hAnsi="宋体" w:cs="宋体"/>
                <w:sz w:val="24"/>
                <w:szCs w:val="24"/>
              </w:rPr>
            </w:pPr>
          </w:p>
        </w:tc>
        <w:tc>
          <w:tcPr>
            <w:tcW w:w="2852" w:type="dxa"/>
            <w:noWrap w:val="0"/>
          </w:tcPr>
          <w:p w14:paraId="3E549F0E">
            <w:pPr>
              <w:jc w:val="center"/>
              <w:rPr>
                <w:rFonts w:ascii="宋体" w:hAnsi="宋体" w:cs="宋体"/>
                <w:sz w:val="24"/>
                <w:szCs w:val="24"/>
              </w:rPr>
            </w:pPr>
          </w:p>
        </w:tc>
        <w:tc>
          <w:tcPr>
            <w:tcW w:w="1308" w:type="dxa"/>
            <w:noWrap w:val="0"/>
          </w:tcPr>
          <w:p w14:paraId="43510B4F">
            <w:pPr>
              <w:jc w:val="center"/>
              <w:rPr>
                <w:rFonts w:ascii="宋体" w:hAnsi="宋体" w:cs="宋体"/>
                <w:sz w:val="24"/>
                <w:szCs w:val="24"/>
              </w:rPr>
            </w:pPr>
          </w:p>
        </w:tc>
        <w:tc>
          <w:tcPr>
            <w:tcW w:w="1173" w:type="dxa"/>
            <w:noWrap w:val="0"/>
          </w:tcPr>
          <w:p w14:paraId="592528E1">
            <w:pPr>
              <w:jc w:val="center"/>
              <w:rPr>
                <w:rFonts w:ascii="宋体" w:hAnsi="宋体" w:cs="宋体"/>
                <w:sz w:val="24"/>
                <w:szCs w:val="24"/>
              </w:rPr>
            </w:pPr>
          </w:p>
        </w:tc>
      </w:tr>
      <w:tr w14:paraId="34BF3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FE6AE96">
            <w:pPr>
              <w:jc w:val="center"/>
              <w:rPr>
                <w:rFonts w:ascii="宋体" w:hAnsi="宋体" w:cs="宋体"/>
                <w:sz w:val="24"/>
                <w:szCs w:val="24"/>
              </w:rPr>
            </w:pPr>
          </w:p>
        </w:tc>
        <w:tc>
          <w:tcPr>
            <w:tcW w:w="3291" w:type="dxa"/>
            <w:noWrap w:val="0"/>
          </w:tcPr>
          <w:p w14:paraId="469D358F">
            <w:pPr>
              <w:jc w:val="center"/>
              <w:rPr>
                <w:rFonts w:ascii="宋体" w:hAnsi="宋体" w:cs="宋体"/>
                <w:sz w:val="24"/>
                <w:szCs w:val="24"/>
              </w:rPr>
            </w:pPr>
          </w:p>
        </w:tc>
        <w:tc>
          <w:tcPr>
            <w:tcW w:w="2852" w:type="dxa"/>
            <w:noWrap w:val="0"/>
          </w:tcPr>
          <w:p w14:paraId="30C950C6">
            <w:pPr>
              <w:jc w:val="center"/>
              <w:rPr>
                <w:rFonts w:ascii="宋体" w:hAnsi="宋体" w:cs="宋体"/>
                <w:sz w:val="24"/>
                <w:szCs w:val="24"/>
              </w:rPr>
            </w:pPr>
          </w:p>
        </w:tc>
        <w:tc>
          <w:tcPr>
            <w:tcW w:w="1308" w:type="dxa"/>
            <w:noWrap w:val="0"/>
          </w:tcPr>
          <w:p w14:paraId="461BF512">
            <w:pPr>
              <w:jc w:val="center"/>
              <w:rPr>
                <w:rFonts w:ascii="宋体" w:hAnsi="宋体" w:cs="宋体"/>
                <w:sz w:val="24"/>
                <w:szCs w:val="24"/>
              </w:rPr>
            </w:pPr>
          </w:p>
        </w:tc>
        <w:tc>
          <w:tcPr>
            <w:tcW w:w="1173" w:type="dxa"/>
            <w:noWrap w:val="0"/>
          </w:tcPr>
          <w:p w14:paraId="59044080">
            <w:pPr>
              <w:jc w:val="center"/>
              <w:rPr>
                <w:rFonts w:ascii="宋体" w:hAnsi="宋体" w:cs="宋体"/>
                <w:sz w:val="24"/>
                <w:szCs w:val="24"/>
              </w:rPr>
            </w:pPr>
          </w:p>
        </w:tc>
      </w:tr>
      <w:tr w14:paraId="44CA4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C66A48D">
            <w:pPr>
              <w:jc w:val="center"/>
              <w:rPr>
                <w:rFonts w:ascii="宋体" w:hAnsi="宋体" w:cs="宋体"/>
                <w:sz w:val="24"/>
                <w:szCs w:val="24"/>
              </w:rPr>
            </w:pPr>
          </w:p>
        </w:tc>
        <w:tc>
          <w:tcPr>
            <w:tcW w:w="3291" w:type="dxa"/>
            <w:noWrap w:val="0"/>
          </w:tcPr>
          <w:p w14:paraId="78A829BB">
            <w:pPr>
              <w:jc w:val="center"/>
              <w:rPr>
                <w:rFonts w:ascii="宋体" w:hAnsi="宋体" w:cs="宋体"/>
                <w:sz w:val="24"/>
                <w:szCs w:val="24"/>
              </w:rPr>
            </w:pPr>
          </w:p>
        </w:tc>
        <w:tc>
          <w:tcPr>
            <w:tcW w:w="2852" w:type="dxa"/>
            <w:noWrap w:val="0"/>
          </w:tcPr>
          <w:p w14:paraId="62DAD430">
            <w:pPr>
              <w:jc w:val="center"/>
              <w:rPr>
                <w:rFonts w:ascii="宋体" w:hAnsi="宋体" w:cs="宋体"/>
                <w:sz w:val="24"/>
                <w:szCs w:val="24"/>
              </w:rPr>
            </w:pPr>
          </w:p>
        </w:tc>
        <w:tc>
          <w:tcPr>
            <w:tcW w:w="1308" w:type="dxa"/>
            <w:noWrap w:val="0"/>
          </w:tcPr>
          <w:p w14:paraId="7B3B0DB8">
            <w:pPr>
              <w:jc w:val="center"/>
              <w:rPr>
                <w:rFonts w:ascii="宋体" w:hAnsi="宋体" w:cs="宋体"/>
                <w:sz w:val="24"/>
                <w:szCs w:val="24"/>
              </w:rPr>
            </w:pPr>
          </w:p>
        </w:tc>
        <w:tc>
          <w:tcPr>
            <w:tcW w:w="1173" w:type="dxa"/>
            <w:noWrap w:val="0"/>
          </w:tcPr>
          <w:p w14:paraId="57EBE996">
            <w:pPr>
              <w:jc w:val="center"/>
              <w:rPr>
                <w:rFonts w:ascii="宋体" w:hAnsi="宋体" w:cs="宋体"/>
                <w:sz w:val="24"/>
                <w:szCs w:val="24"/>
              </w:rPr>
            </w:pPr>
          </w:p>
        </w:tc>
      </w:tr>
      <w:tr w14:paraId="26269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80F278F">
            <w:pPr>
              <w:jc w:val="center"/>
              <w:rPr>
                <w:rFonts w:ascii="宋体" w:hAnsi="宋体" w:cs="宋体"/>
                <w:sz w:val="24"/>
                <w:szCs w:val="24"/>
              </w:rPr>
            </w:pPr>
          </w:p>
        </w:tc>
        <w:tc>
          <w:tcPr>
            <w:tcW w:w="3291" w:type="dxa"/>
            <w:noWrap w:val="0"/>
          </w:tcPr>
          <w:p w14:paraId="01E8D119">
            <w:pPr>
              <w:jc w:val="center"/>
              <w:rPr>
                <w:rFonts w:ascii="宋体" w:hAnsi="宋体" w:cs="宋体"/>
                <w:sz w:val="24"/>
                <w:szCs w:val="24"/>
              </w:rPr>
            </w:pPr>
          </w:p>
        </w:tc>
        <w:tc>
          <w:tcPr>
            <w:tcW w:w="2852" w:type="dxa"/>
            <w:noWrap w:val="0"/>
          </w:tcPr>
          <w:p w14:paraId="3D6C0D7D">
            <w:pPr>
              <w:jc w:val="center"/>
              <w:rPr>
                <w:rFonts w:ascii="宋体" w:hAnsi="宋体" w:cs="宋体"/>
                <w:sz w:val="24"/>
                <w:szCs w:val="24"/>
              </w:rPr>
            </w:pPr>
          </w:p>
        </w:tc>
        <w:tc>
          <w:tcPr>
            <w:tcW w:w="1308" w:type="dxa"/>
            <w:noWrap w:val="0"/>
          </w:tcPr>
          <w:p w14:paraId="21BB8185">
            <w:pPr>
              <w:jc w:val="center"/>
              <w:rPr>
                <w:rFonts w:ascii="宋体" w:hAnsi="宋体" w:cs="宋体"/>
                <w:sz w:val="24"/>
                <w:szCs w:val="24"/>
              </w:rPr>
            </w:pPr>
          </w:p>
        </w:tc>
        <w:tc>
          <w:tcPr>
            <w:tcW w:w="1173" w:type="dxa"/>
            <w:noWrap w:val="0"/>
          </w:tcPr>
          <w:p w14:paraId="67A99B73">
            <w:pPr>
              <w:jc w:val="center"/>
              <w:rPr>
                <w:rFonts w:ascii="宋体" w:hAnsi="宋体" w:cs="宋体"/>
                <w:sz w:val="24"/>
                <w:szCs w:val="24"/>
              </w:rPr>
            </w:pPr>
          </w:p>
        </w:tc>
      </w:tr>
      <w:tr w14:paraId="454CA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74DC28C">
            <w:pPr>
              <w:jc w:val="center"/>
              <w:rPr>
                <w:rFonts w:ascii="宋体" w:hAnsi="宋体" w:cs="宋体"/>
                <w:sz w:val="24"/>
                <w:szCs w:val="24"/>
              </w:rPr>
            </w:pPr>
          </w:p>
        </w:tc>
        <w:tc>
          <w:tcPr>
            <w:tcW w:w="3291" w:type="dxa"/>
            <w:noWrap w:val="0"/>
          </w:tcPr>
          <w:p w14:paraId="397C736E">
            <w:pPr>
              <w:jc w:val="center"/>
              <w:rPr>
                <w:rFonts w:ascii="宋体" w:hAnsi="宋体" w:cs="宋体"/>
                <w:sz w:val="24"/>
                <w:szCs w:val="24"/>
              </w:rPr>
            </w:pPr>
          </w:p>
        </w:tc>
        <w:tc>
          <w:tcPr>
            <w:tcW w:w="2852" w:type="dxa"/>
            <w:noWrap w:val="0"/>
          </w:tcPr>
          <w:p w14:paraId="1D2B33BD">
            <w:pPr>
              <w:jc w:val="center"/>
              <w:rPr>
                <w:rFonts w:ascii="宋体" w:hAnsi="宋体" w:cs="宋体"/>
                <w:sz w:val="24"/>
                <w:szCs w:val="24"/>
              </w:rPr>
            </w:pPr>
          </w:p>
        </w:tc>
        <w:tc>
          <w:tcPr>
            <w:tcW w:w="1308" w:type="dxa"/>
            <w:noWrap w:val="0"/>
          </w:tcPr>
          <w:p w14:paraId="4D954262">
            <w:pPr>
              <w:jc w:val="center"/>
              <w:rPr>
                <w:rFonts w:ascii="宋体" w:hAnsi="宋体" w:cs="宋体"/>
                <w:sz w:val="24"/>
                <w:szCs w:val="24"/>
              </w:rPr>
            </w:pPr>
          </w:p>
        </w:tc>
        <w:tc>
          <w:tcPr>
            <w:tcW w:w="1173" w:type="dxa"/>
            <w:noWrap w:val="0"/>
          </w:tcPr>
          <w:p w14:paraId="531D2F0A">
            <w:pPr>
              <w:jc w:val="center"/>
              <w:rPr>
                <w:rFonts w:ascii="宋体" w:hAnsi="宋体" w:cs="宋体"/>
                <w:sz w:val="24"/>
                <w:szCs w:val="24"/>
              </w:rPr>
            </w:pPr>
          </w:p>
        </w:tc>
      </w:tr>
      <w:tr w14:paraId="09F14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52525158">
            <w:pPr>
              <w:jc w:val="center"/>
              <w:rPr>
                <w:rFonts w:ascii="宋体" w:hAnsi="宋体" w:cs="宋体"/>
                <w:sz w:val="24"/>
                <w:szCs w:val="24"/>
              </w:rPr>
            </w:pPr>
          </w:p>
        </w:tc>
        <w:tc>
          <w:tcPr>
            <w:tcW w:w="3291" w:type="dxa"/>
            <w:noWrap w:val="0"/>
          </w:tcPr>
          <w:p w14:paraId="2311A069">
            <w:pPr>
              <w:jc w:val="center"/>
              <w:rPr>
                <w:rFonts w:ascii="宋体" w:hAnsi="宋体" w:cs="宋体"/>
                <w:sz w:val="24"/>
                <w:szCs w:val="24"/>
              </w:rPr>
            </w:pPr>
            <w:r>
              <w:rPr>
                <w:rFonts w:hint="eastAsia" w:ascii="宋体" w:hAnsi="宋体" w:cs="宋体"/>
                <w:sz w:val="24"/>
                <w:szCs w:val="24"/>
              </w:rPr>
              <w:t>……</w:t>
            </w:r>
          </w:p>
        </w:tc>
        <w:tc>
          <w:tcPr>
            <w:tcW w:w="2852" w:type="dxa"/>
            <w:noWrap w:val="0"/>
          </w:tcPr>
          <w:p w14:paraId="61C119DF">
            <w:pPr>
              <w:jc w:val="center"/>
              <w:rPr>
                <w:rFonts w:ascii="宋体" w:hAnsi="宋体" w:cs="宋体"/>
                <w:sz w:val="24"/>
                <w:szCs w:val="24"/>
              </w:rPr>
            </w:pPr>
          </w:p>
        </w:tc>
        <w:tc>
          <w:tcPr>
            <w:tcW w:w="1308" w:type="dxa"/>
            <w:noWrap w:val="0"/>
          </w:tcPr>
          <w:p w14:paraId="47CF593D">
            <w:pPr>
              <w:jc w:val="center"/>
              <w:rPr>
                <w:rFonts w:ascii="宋体" w:hAnsi="宋体" w:cs="宋体"/>
                <w:sz w:val="24"/>
                <w:szCs w:val="24"/>
              </w:rPr>
            </w:pPr>
          </w:p>
        </w:tc>
        <w:tc>
          <w:tcPr>
            <w:tcW w:w="1173" w:type="dxa"/>
            <w:noWrap w:val="0"/>
          </w:tcPr>
          <w:p w14:paraId="72392C0B">
            <w:pPr>
              <w:jc w:val="center"/>
              <w:rPr>
                <w:rFonts w:ascii="宋体" w:hAnsi="宋体" w:cs="宋体"/>
                <w:sz w:val="24"/>
                <w:szCs w:val="24"/>
              </w:rPr>
            </w:pPr>
          </w:p>
        </w:tc>
      </w:tr>
    </w:tbl>
    <w:p w14:paraId="36C9DF23">
      <w:pPr>
        <w:spacing w:line="588" w:lineRule="exact"/>
        <w:rPr>
          <w:rFonts w:ascii="宋体" w:hAnsi="宋体" w:cs="宋体"/>
          <w:sz w:val="24"/>
        </w:rPr>
      </w:pPr>
      <w:r>
        <w:rPr>
          <w:rFonts w:hint="eastAsia" w:ascii="宋体" w:hAnsi="宋体" w:cs="宋体"/>
          <w:sz w:val="24"/>
        </w:rPr>
        <w:t>1、凡响应文件中商务部分与磋商文件商务要求有偏离的，均应在此表中详细列出并说明理由（内容较多的可以标注见响应文件第几页），未在此表中列出的视同完全满足磋商文件要求。</w:t>
      </w:r>
    </w:p>
    <w:p w14:paraId="7393B858">
      <w:pPr>
        <w:spacing w:line="588" w:lineRule="exact"/>
        <w:rPr>
          <w:rFonts w:ascii="宋体" w:hAnsi="宋体" w:cs="宋体"/>
          <w:sz w:val="24"/>
        </w:rPr>
      </w:pPr>
      <w:r>
        <w:rPr>
          <w:rFonts w:hint="eastAsia" w:ascii="宋体" w:hAnsi="宋体" w:cs="宋体"/>
          <w:sz w:val="24"/>
        </w:rPr>
        <w:t>2、如果磋商文件要求提供证明材料，供应商须在响应文件中提供证明材料。</w:t>
      </w:r>
    </w:p>
    <w:p w14:paraId="479AD73C">
      <w:pPr>
        <w:spacing w:line="588" w:lineRule="exact"/>
        <w:rPr>
          <w:rFonts w:ascii="宋体" w:hAnsi="宋体" w:cs="宋体"/>
          <w:sz w:val="24"/>
        </w:rPr>
      </w:pPr>
      <w:r>
        <w:rPr>
          <w:rFonts w:hint="eastAsia" w:ascii="宋体" w:hAnsi="宋体" w:cs="宋体"/>
          <w:sz w:val="24"/>
        </w:rPr>
        <w:t>3、行数不够，可自行添加。</w:t>
      </w:r>
    </w:p>
    <w:p w14:paraId="013D33C9">
      <w:pPr>
        <w:rPr>
          <w:rFonts w:ascii="宋体" w:hAnsi="宋体" w:cs="宋体"/>
          <w:iCs/>
          <w:szCs w:val="32"/>
        </w:rPr>
      </w:pPr>
      <w:r>
        <w:rPr>
          <w:rFonts w:hint="eastAsia" w:ascii="宋体" w:hAnsi="宋体" w:cs="宋体"/>
          <w:iCs/>
          <w:szCs w:val="32"/>
        </w:rPr>
        <w:br w:type="page" w:clear="all"/>
      </w:r>
    </w:p>
    <w:p w14:paraId="3F7CC2BD">
      <w:pPr>
        <w:pStyle w:val="302"/>
        <w:outlineLvl w:val="1"/>
        <w:rPr>
          <w:rFonts w:ascii="宋体" w:hAnsi="宋体" w:eastAsia="宋体" w:cs="宋体"/>
        </w:rPr>
      </w:pPr>
      <w:bookmarkStart w:id="258" w:name="_Toc21877"/>
      <w:r>
        <w:rPr>
          <w:rFonts w:hint="eastAsia" w:ascii="宋体" w:hAnsi="宋体" w:eastAsia="宋体" w:cs="宋体"/>
          <w:b w:val="0"/>
          <w:iCs/>
          <w:szCs w:val="32"/>
        </w:rPr>
        <w:t>十、项目组人员</w:t>
      </w:r>
      <w:bookmarkEnd w:id="257"/>
      <w:bookmarkEnd w:id="258"/>
    </w:p>
    <w:p w14:paraId="0355185A">
      <w:pPr>
        <w:pStyle w:val="329"/>
        <w:spacing w:line="600" w:lineRule="exact"/>
        <w:jc w:val="center"/>
        <w:rPr>
          <w:b/>
          <w:bCs/>
          <w:sz w:val="32"/>
          <w:szCs w:val="32"/>
        </w:rPr>
      </w:pPr>
      <w:r>
        <w:rPr>
          <w:rFonts w:hint="eastAsia"/>
          <w:b/>
          <w:bCs/>
          <w:sz w:val="32"/>
          <w:szCs w:val="32"/>
          <w:lang w:bidi="ar"/>
        </w:rPr>
        <w:t>项目组成员</w:t>
      </w:r>
    </w:p>
    <w:tbl>
      <w:tblPr>
        <w:tblStyle w:val="49"/>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6CEBB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0D1F6540">
            <w:pPr>
              <w:pStyle w:val="303"/>
              <w:widowControl/>
              <w:spacing w:beforeAutospacing="1" w:line="560" w:lineRule="exact"/>
              <w:jc w:val="center"/>
              <w:rPr>
                <w:rFonts w:ascii="宋体" w:hAnsi="宋体" w:cs="宋体"/>
                <w:sz w:val="28"/>
                <w:szCs w:val="28"/>
              </w:rPr>
            </w:pPr>
            <w:r>
              <w:rPr>
                <w:rFonts w:hint="eastAsia" w:ascii="宋体" w:hAnsi="宋体" w:cs="宋体"/>
                <w:sz w:val="28"/>
                <w:szCs w:val="28"/>
              </w:rPr>
              <w:t>姓名</w:t>
            </w:r>
          </w:p>
        </w:tc>
        <w:tc>
          <w:tcPr>
            <w:tcW w:w="1843" w:type="dxa"/>
            <w:noWrap w:val="0"/>
            <w:vAlign w:val="center"/>
          </w:tcPr>
          <w:p w14:paraId="4DDD55F4">
            <w:pPr>
              <w:pStyle w:val="303"/>
              <w:widowControl/>
              <w:spacing w:beforeAutospacing="1" w:line="560" w:lineRule="exact"/>
              <w:jc w:val="center"/>
              <w:rPr>
                <w:rFonts w:ascii="宋体" w:hAnsi="宋体" w:cs="宋体"/>
                <w:sz w:val="28"/>
                <w:szCs w:val="28"/>
              </w:rPr>
            </w:pPr>
            <w:r>
              <w:rPr>
                <w:rFonts w:hint="eastAsia" w:ascii="宋体" w:hAnsi="宋体" w:cs="宋体"/>
                <w:sz w:val="28"/>
                <w:szCs w:val="28"/>
              </w:rPr>
              <w:t>职务</w:t>
            </w:r>
          </w:p>
        </w:tc>
        <w:tc>
          <w:tcPr>
            <w:tcW w:w="992" w:type="dxa"/>
            <w:noWrap w:val="0"/>
            <w:vAlign w:val="center"/>
          </w:tcPr>
          <w:p w14:paraId="2D843B3C">
            <w:pPr>
              <w:pStyle w:val="303"/>
              <w:widowControl/>
              <w:spacing w:beforeAutospacing="1" w:line="560" w:lineRule="exact"/>
              <w:jc w:val="center"/>
              <w:rPr>
                <w:rFonts w:ascii="宋体" w:hAnsi="宋体" w:cs="宋体"/>
                <w:sz w:val="28"/>
                <w:szCs w:val="28"/>
              </w:rPr>
            </w:pPr>
            <w:r>
              <w:rPr>
                <w:rFonts w:hint="eastAsia" w:ascii="宋体" w:hAnsi="宋体" w:cs="宋体"/>
                <w:sz w:val="28"/>
                <w:szCs w:val="28"/>
              </w:rPr>
              <w:t>学历</w:t>
            </w:r>
          </w:p>
        </w:tc>
        <w:tc>
          <w:tcPr>
            <w:tcW w:w="1984" w:type="dxa"/>
            <w:noWrap w:val="0"/>
            <w:vAlign w:val="center"/>
          </w:tcPr>
          <w:p w14:paraId="303E39BD">
            <w:pPr>
              <w:pStyle w:val="303"/>
              <w:widowControl/>
              <w:spacing w:beforeAutospacing="1" w:line="560" w:lineRule="exact"/>
              <w:ind w:firstLine="280"/>
              <w:rPr>
                <w:rFonts w:ascii="宋体" w:hAnsi="宋体" w:cs="宋体"/>
                <w:sz w:val="28"/>
                <w:szCs w:val="28"/>
              </w:rPr>
            </w:pPr>
            <w:r>
              <w:rPr>
                <w:rFonts w:hint="eastAsia" w:ascii="宋体" w:hAnsi="宋体" w:cs="宋体"/>
                <w:sz w:val="28"/>
                <w:szCs w:val="28"/>
              </w:rPr>
              <w:t>身份证号</w:t>
            </w:r>
          </w:p>
        </w:tc>
        <w:tc>
          <w:tcPr>
            <w:tcW w:w="1702" w:type="dxa"/>
            <w:noWrap w:val="0"/>
            <w:vAlign w:val="center"/>
          </w:tcPr>
          <w:p w14:paraId="5452EDC8">
            <w:pPr>
              <w:pStyle w:val="303"/>
              <w:widowControl/>
              <w:spacing w:beforeAutospacing="1" w:line="560" w:lineRule="exact"/>
              <w:jc w:val="center"/>
              <w:rPr>
                <w:rFonts w:ascii="宋体" w:hAnsi="宋体" w:cs="宋体"/>
                <w:sz w:val="28"/>
                <w:szCs w:val="28"/>
              </w:rPr>
            </w:pPr>
            <w:r>
              <w:rPr>
                <w:rFonts w:hint="eastAsia" w:ascii="宋体" w:hAnsi="宋体" w:cs="宋体"/>
                <w:sz w:val="28"/>
                <w:szCs w:val="28"/>
              </w:rPr>
              <w:t>相关证书</w:t>
            </w:r>
          </w:p>
        </w:tc>
        <w:tc>
          <w:tcPr>
            <w:tcW w:w="962" w:type="dxa"/>
            <w:noWrap w:val="0"/>
            <w:vAlign w:val="center"/>
          </w:tcPr>
          <w:p w14:paraId="234D3778">
            <w:pPr>
              <w:pStyle w:val="303"/>
              <w:widowControl/>
              <w:spacing w:beforeAutospacing="1" w:line="560" w:lineRule="exact"/>
              <w:rPr>
                <w:rFonts w:ascii="宋体" w:hAnsi="宋体" w:cs="宋体"/>
                <w:sz w:val="28"/>
                <w:szCs w:val="28"/>
              </w:rPr>
            </w:pPr>
            <w:r>
              <w:rPr>
                <w:rFonts w:hint="eastAsia" w:ascii="宋体" w:hAnsi="宋体" w:cs="宋体"/>
                <w:sz w:val="28"/>
                <w:szCs w:val="28"/>
              </w:rPr>
              <w:t>备注</w:t>
            </w:r>
          </w:p>
        </w:tc>
      </w:tr>
      <w:tr w14:paraId="12663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E2C3716">
            <w:pPr>
              <w:pStyle w:val="303"/>
              <w:widowControl/>
              <w:spacing w:line="560" w:lineRule="exact"/>
              <w:ind w:firstLine="560"/>
              <w:jc w:val="center"/>
              <w:rPr>
                <w:rFonts w:ascii="宋体" w:hAnsi="宋体" w:cs="宋体"/>
                <w:sz w:val="28"/>
                <w:szCs w:val="28"/>
              </w:rPr>
            </w:pPr>
          </w:p>
        </w:tc>
        <w:tc>
          <w:tcPr>
            <w:tcW w:w="1843" w:type="dxa"/>
            <w:noWrap w:val="0"/>
            <w:vAlign w:val="center"/>
          </w:tcPr>
          <w:p w14:paraId="787842AD">
            <w:pPr>
              <w:pStyle w:val="329"/>
              <w:jc w:val="center"/>
              <w:rPr>
                <w:sz w:val="20"/>
                <w:szCs w:val="20"/>
              </w:rPr>
            </w:pPr>
            <w:r>
              <w:rPr>
                <w:rFonts w:hint="eastAsia"/>
                <w:sz w:val="28"/>
                <w:szCs w:val="28"/>
                <w:lang w:bidi="ar"/>
              </w:rPr>
              <w:t>项目负责人</w:t>
            </w:r>
          </w:p>
        </w:tc>
        <w:tc>
          <w:tcPr>
            <w:tcW w:w="992" w:type="dxa"/>
            <w:noWrap w:val="0"/>
            <w:vAlign w:val="center"/>
          </w:tcPr>
          <w:p w14:paraId="4B1EFDEF">
            <w:pPr>
              <w:pStyle w:val="303"/>
              <w:widowControl/>
              <w:spacing w:line="560" w:lineRule="exact"/>
              <w:ind w:firstLine="560"/>
              <w:jc w:val="center"/>
              <w:rPr>
                <w:rFonts w:ascii="宋体" w:hAnsi="宋体" w:cs="宋体"/>
                <w:sz w:val="28"/>
                <w:szCs w:val="28"/>
              </w:rPr>
            </w:pPr>
          </w:p>
        </w:tc>
        <w:tc>
          <w:tcPr>
            <w:tcW w:w="1984" w:type="dxa"/>
            <w:noWrap w:val="0"/>
            <w:vAlign w:val="center"/>
          </w:tcPr>
          <w:p w14:paraId="1893661A">
            <w:pPr>
              <w:pStyle w:val="303"/>
              <w:widowControl/>
              <w:spacing w:line="560" w:lineRule="exact"/>
              <w:ind w:firstLine="560"/>
              <w:jc w:val="center"/>
              <w:rPr>
                <w:rFonts w:ascii="宋体" w:hAnsi="宋体" w:cs="宋体"/>
                <w:sz w:val="28"/>
                <w:szCs w:val="28"/>
              </w:rPr>
            </w:pPr>
          </w:p>
        </w:tc>
        <w:tc>
          <w:tcPr>
            <w:tcW w:w="1702" w:type="dxa"/>
            <w:noWrap w:val="0"/>
            <w:vAlign w:val="center"/>
          </w:tcPr>
          <w:p w14:paraId="78DEBC24">
            <w:pPr>
              <w:pStyle w:val="303"/>
              <w:widowControl/>
              <w:spacing w:line="560" w:lineRule="exact"/>
              <w:ind w:firstLine="560"/>
              <w:jc w:val="center"/>
              <w:rPr>
                <w:rFonts w:ascii="宋体" w:hAnsi="宋体" w:cs="宋体"/>
                <w:sz w:val="28"/>
                <w:szCs w:val="28"/>
              </w:rPr>
            </w:pPr>
          </w:p>
        </w:tc>
        <w:tc>
          <w:tcPr>
            <w:tcW w:w="962" w:type="dxa"/>
            <w:noWrap w:val="0"/>
            <w:vAlign w:val="center"/>
          </w:tcPr>
          <w:p w14:paraId="0EBA40B3">
            <w:pPr>
              <w:pStyle w:val="303"/>
              <w:widowControl/>
              <w:spacing w:line="560" w:lineRule="exact"/>
              <w:ind w:firstLine="560"/>
              <w:jc w:val="center"/>
              <w:rPr>
                <w:rFonts w:ascii="宋体" w:hAnsi="宋体" w:cs="宋体"/>
                <w:sz w:val="28"/>
                <w:szCs w:val="28"/>
              </w:rPr>
            </w:pPr>
          </w:p>
        </w:tc>
      </w:tr>
      <w:tr w14:paraId="49472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689D724">
            <w:pPr>
              <w:pStyle w:val="303"/>
              <w:widowControl/>
              <w:spacing w:line="560" w:lineRule="exact"/>
              <w:ind w:firstLine="560"/>
              <w:jc w:val="center"/>
              <w:rPr>
                <w:rFonts w:ascii="宋体" w:hAnsi="宋体" w:cs="宋体"/>
                <w:sz w:val="28"/>
                <w:szCs w:val="28"/>
              </w:rPr>
            </w:pPr>
          </w:p>
        </w:tc>
        <w:tc>
          <w:tcPr>
            <w:tcW w:w="1843" w:type="dxa"/>
            <w:noWrap w:val="0"/>
            <w:vAlign w:val="center"/>
          </w:tcPr>
          <w:p w14:paraId="7FD83B72">
            <w:pPr>
              <w:pStyle w:val="329"/>
              <w:jc w:val="center"/>
              <w:rPr>
                <w:sz w:val="28"/>
                <w:szCs w:val="28"/>
              </w:rPr>
            </w:pPr>
            <w:r>
              <w:rPr>
                <w:rFonts w:hint="eastAsia"/>
                <w:sz w:val="28"/>
                <w:szCs w:val="28"/>
                <w:lang w:bidi="ar"/>
              </w:rPr>
              <w:t>......</w:t>
            </w:r>
          </w:p>
        </w:tc>
        <w:tc>
          <w:tcPr>
            <w:tcW w:w="992" w:type="dxa"/>
            <w:noWrap w:val="0"/>
            <w:vAlign w:val="center"/>
          </w:tcPr>
          <w:p w14:paraId="6E80D570">
            <w:pPr>
              <w:pStyle w:val="303"/>
              <w:widowControl/>
              <w:spacing w:line="560" w:lineRule="exact"/>
              <w:ind w:firstLine="560"/>
              <w:jc w:val="center"/>
              <w:rPr>
                <w:rFonts w:ascii="宋体" w:hAnsi="宋体" w:cs="宋体"/>
                <w:sz w:val="28"/>
                <w:szCs w:val="28"/>
              </w:rPr>
            </w:pPr>
          </w:p>
        </w:tc>
        <w:tc>
          <w:tcPr>
            <w:tcW w:w="1984" w:type="dxa"/>
            <w:noWrap w:val="0"/>
            <w:vAlign w:val="center"/>
          </w:tcPr>
          <w:p w14:paraId="445ACF87">
            <w:pPr>
              <w:pStyle w:val="303"/>
              <w:widowControl/>
              <w:spacing w:line="560" w:lineRule="exact"/>
              <w:ind w:firstLine="560"/>
              <w:jc w:val="center"/>
              <w:rPr>
                <w:rFonts w:ascii="宋体" w:hAnsi="宋体" w:cs="宋体"/>
                <w:sz w:val="28"/>
                <w:szCs w:val="28"/>
              </w:rPr>
            </w:pPr>
          </w:p>
        </w:tc>
        <w:tc>
          <w:tcPr>
            <w:tcW w:w="1702" w:type="dxa"/>
            <w:noWrap w:val="0"/>
            <w:vAlign w:val="center"/>
          </w:tcPr>
          <w:p w14:paraId="57823C72">
            <w:pPr>
              <w:pStyle w:val="303"/>
              <w:widowControl/>
              <w:spacing w:line="560" w:lineRule="exact"/>
              <w:ind w:firstLine="560"/>
              <w:jc w:val="center"/>
              <w:rPr>
                <w:rFonts w:ascii="宋体" w:hAnsi="宋体" w:cs="宋体"/>
                <w:sz w:val="28"/>
                <w:szCs w:val="28"/>
              </w:rPr>
            </w:pPr>
          </w:p>
        </w:tc>
        <w:tc>
          <w:tcPr>
            <w:tcW w:w="962" w:type="dxa"/>
            <w:noWrap w:val="0"/>
            <w:vAlign w:val="center"/>
          </w:tcPr>
          <w:p w14:paraId="67A37902">
            <w:pPr>
              <w:pStyle w:val="303"/>
              <w:widowControl/>
              <w:spacing w:line="560" w:lineRule="exact"/>
              <w:ind w:firstLine="560"/>
              <w:jc w:val="center"/>
              <w:rPr>
                <w:rFonts w:ascii="宋体" w:hAnsi="宋体" w:cs="宋体"/>
                <w:sz w:val="28"/>
                <w:szCs w:val="28"/>
              </w:rPr>
            </w:pPr>
          </w:p>
        </w:tc>
      </w:tr>
      <w:tr w14:paraId="47605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810B87E">
            <w:pPr>
              <w:pStyle w:val="303"/>
              <w:widowControl/>
              <w:spacing w:line="560" w:lineRule="exact"/>
              <w:ind w:firstLine="560"/>
              <w:jc w:val="center"/>
              <w:rPr>
                <w:rFonts w:ascii="宋体" w:hAnsi="宋体" w:cs="宋体"/>
                <w:sz w:val="28"/>
                <w:szCs w:val="28"/>
              </w:rPr>
            </w:pPr>
          </w:p>
        </w:tc>
        <w:tc>
          <w:tcPr>
            <w:tcW w:w="1843" w:type="dxa"/>
            <w:noWrap w:val="0"/>
            <w:vAlign w:val="center"/>
          </w:tcPr>
          <w:p w14:paraId="489313AE">
            <w:pPr>
              <w:pStyle w:val="329"/>
              <w:ind w:firstLine="280"/>
              <w:rPr>
                <w:sz w:val="28"/>
                <w:szCs w:val="28"/>
              </w:rPr>
            </w:pPr>
            <w:r>
              <w:rPr>
                <w:rFonts w:hint="eastAsia"/>
                <w:sz w:val="28"/>
                <w:szCs w:val="28"/>
                <w:lang w:bidi="ar"/>
              </w:rPr>
              <w:t>......</w:t>
            </w:r>
          </w:p>
        </w:tc>
        <w:tc>
          <w:tcPr>
            <w:tcW w:w="992" w:type="dxa"/>
            <w:noWrap w:val="0"/>
            <w:vAlign w:val="center"/>
          </w:tcPr>
          <w:p w14:paraId="40615517">
            <w:pPr>
              <w:pStyle w:val="303"/>
              <w:widowControl/>
              <w:spacing w:line="560" w:lineRule="exact"/>
              <w:ind w:firstLine="560"/>
              <w:jc w:val="center"/>
              <w:rPr>
                <w:rFonts w:ascii="宋体" w:hAnsi="宋体" w:cs="宋体"/>
                <w:sz w:val="28"/>
                <w:szCs w:val="28"/>
              </w:rPr>
            </w:pPr>
          </w:p>
        </w:tc>
        <w:tc>
          <w:tcPr>
            <w:tcW w:w="1984" w:type="dxa"/>
            <w:noWrap w:val="0"/>
            <w:vAlign w:val="center"/>
          </w:tcPr>
          <w:p w14:paraId="72EC07A8">
            <w:pPr>
              <w:pStyle w:val="303"/>
              <w:widowControl/>
              <w:spacing w:line="560" w:lineRule="exact"/>
              <w:ind w:firstLine="560"/>
              <w:jc w:val="center"/>
              <w:rPr>
                <w:rFonts w:ascii="宋体" w:hAnsi="宋体" w:cs="宋体"/>
                <w:sz w:val="28"/>
                <w:szCs w:val="28"/>
              </w:rPr>
            </w:pPr>
          </w:p>
        </w:tc>
        <w:tc>
          <w:tcPr>
            <w:tcW w:w="1702" w:type="dxa"/>
            <w:noWrap w:val="0"/>
            <w:vAlign w:val="center"/>
          </w:tcPr>
          <w:p w14:paraId="371313EE">
            <w:pPr>
              <w:pStyle w:val="303"/>
              <w:widowControl/>
              <w:spacing w:line="560" w:lineRule="exact"/>
              <w:ind w:firstLine="560"/>
              <w:jc w:val="center"/>
              <w:rPr>
                <w:rFonts w:ascii="宋体" w:hAnsi="宋体" w:cs="宋体"/>
                <w:sz w:val="28"/>
                <w:szCs w:val="28"/>
              </w:rPr>
            </w:pPr>
          </w:p>
        </w:tc>
        <w:tc>
          <w:tcPr>
            <w:tcW w:w="962" w:type="dxa"/>
            <w:noWrap w:val="0"/>
            <w:vAlign w:val="center"/>
          </w:tcPr>
          <w:p w14:paraId="32CED9D2">
            <w:pPr>
              <w:pStyle w:val="303"/>
              <w:widowControl/>
              <w:spacing w:line="560" w:lineRule="exact"/>
              <w:ind w:firstLine="560"/>
              <w:jc w:val="center"/>
              <w:rPr>
                <w:rFonts w:ascii="宋体" w:hAnsi="宋体" w:cs="宋体"/>
                <w:sz w:val="28"/>
                <w:szCs w:val="28"/>
              </w:rPr>
            </w:pPr>
          </w:p>
        </w:tc>
      </w:tr>
      <w:tr w14:paraId="4D289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B24ADBE">
            <w:pPr>
              <w:pStyle w:val="303"/>
              <w:widowControl/>
              <w:spacing w:line="560" w:lineRule="exact"/>
              <w:ind w:firstLine="560"/>
              <w:jc w:val="center"/>
              <w:rPr>
                <w:rFonts w:ascii="宋体" w:hAnsi="宋体" w:cs="宋体"/>
                <w:sz w:val="28"/>
                <w:szCs w:val="28"/>
              </w:rPr>
            </w:pPr>
          </w:p>
        </w:tc>
        <w:tc>
          <w:tcPr>
            <w:tcW w:w="1843" w:type="dxa"/>
            <w:noWrap w:val="0"/>
            <w:vAlign w:val="center"/>
          </w:tcPr>
          <w:p w14:paraId="5692B197">
            <w:pPr>
              <w:pStyle w:val="329"/>
              <w:rPr>
                <w:sz w:val="28"/>
                <w:szCs w:val="28"/>
              </w:rPr>
            </w:pPr>
          </w:p>
        </w:tc>
        <w:tc>
          <w:tcPr>
            <w:tcW w:w="992" w:type="dxa"/>
            <w:noWrap w:val="0"/>
            <w:vAlign w:val="center"/>
          </w:tcPr>
          <w:p w14:paraId="10182ABF">
            <w:pPr>
              <w:pStyle w:val="303"/>
              <w:widowControl/>
              <w:spacing w:line="560" w:lineRule="exact"/>
              <w:ind w:firstLine="560"/>
              <w:jc w:val="center"/>
              <w:rPr>
                <w:rFonts w:ascii="宋体" w:hAnsi="宋体" w:cs="宋体"/>
                <w:sz w:val="28"/>
                <w:szCs w:val="28"/>
              </w:rPr>
            </w:pPr>
          </w:p>
        </w:tc>
        <w:tc>
          <w:tcPr>
            <w:tcW w:w="1984" w:type="dxa"/>
            <w:noWrap w:val="0"/>
            <w:vAlign w:val="center"/>
          </w:tcPr>
          <w:p w14:paraId="25B2707A">
            <w:pPr>
              <w:pStyle w:val="303"/>
              <w:widowControl/>
              <w:spacing w:line="560" w:lineRule="exact"/>
              <w:ind w:firstLine="560"/>
              <w:jc w:val="center"/>
              <w:rPr>
                <w:rFonts w:ascii="宋体" w:hAnsi="宋体" w:cs="宋体"/>
                <w:sz w:val="28"/>
                <w:szCs w:val="28"/>
              </w:rPr>
            </w:pPr>
          </w:p>
        </w:tc>
        <w:tc>
          <w:tcPr>
            <w:tcW w:w="1702" w:type="dxa"/>
            <w:noWrap w:val="0"/>
            <w:vAlign w:val="center"/>
          </w:tcPr>
          <w:p w14:paraId="2A566F1A">
            <w:pPr>
              <w:pStyle w:val="303"/>
              <w:widowControl/>
              <w:spacing w:line="560" w:lineRule="exact"/>
              <w:ind w:firstLine="560"/>
              <w:jc w:val="center"/>
              <w:rPr>
                <w:rFonts w:ascii="宋体" w:hAnsi="宋体" w:cs="宋体"/>
                <w:sz w:val="28"/>
                <w:szCs w:val="28"/>
              </w:rPr>
            </w:pPr>
          </w:p>
        </w:tc>
        <w:tc>
          <w:tcPr>
            <w:tcW w:w="962" w:type="dxa"/>
            <w:noWrap w:val="0"/>
            <w:vAlign w:val="center"/>
          </w:tcPr>
          <w:p w14:paraId="3BD1BB37">
            <w:pPr>
              <w:pStyle w:val="303"/>
              <w:widowControl/>
              <w:spacing w:line="560" w:lineRule="exact"/>
              <w:ind w:firstLine="560"/>
              <w:jc w:val="center"/>
              <w:rPr>
                <w:rFonts w:ascii="宋体" w:hAnsi="宋体" w:cs="宋体"/>
                <w:sz w:val="28"/>
                <w:szCs w:val="28"/>
              </w:rPr>
            </w:pPr>
          </w:p>
        </w:tc>
      </w:tr>
      <w:tr w14:paraId="6B21E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4BEA6DE">
            <w:pPr>
              <w:pStyle w:val="303"/>
              <w:widowControl/>
              <w:spacing w:line="560" w:lineRule="exact"/>
              <w:ind w:firstLine="560"/>
              <w:jc w:val="center"/>
              <w:rPr>
                <w:rFonts w:ascii="宋体" w:hAnsi="宋体" w:cs="宋体"/>
                <w:sz w:val="28"/>
                <w:szCs w:val="28"/>
              </w:rPr>
            </w:pPr>
          </w:p>
        </w:tc>
        <w:tc>
          <w:tcPr>
            <w:tcW w:w="1843" w:type="dxa"/>
            <w:noWrap w:val="0"/>
            <w:vAlign w:val="center"/>
          </w:tcPr>
          <w:p w14:paraId="5D684B00">
            <w:pPr>
              <w:pStyle w:val="329"/>
              <w:rPr>
                <w:sz w:val="28"/>
                <w:szCs w:val="28"/>
              </w:rPr>
            </w:pPr>
          </w:p>
        </w:tc>
        <w:tc>
          <w:tcPr>
            <w:tcW w:w="992" w:type="dxa"/>
            <w:noWrap w:val="0"/>
            <w:vAlign w:val="center"/>
          </w:tcPr>
          <w:p w14:paraId="31A29E8D">
            <w:pPr>
              <w:pStyle w:val="303"/>
              <w:widowControl/>
              <w:spacing w:line="560" w:lineRule="exact"/>
              <w:ind w:firstLine="560"/>
              <w:jc w:val="center"/>
              <w:rPr>
                <w:rFonts w:ascii="宋体" w:hAnsi="宋体" w:cs="宋体"/>
                <w:sz w:val="28"/>
                <w:szCs w:val="28"/>
              </w:rPr>
            </w:pPr>
          </w:p>
        </w:tc>
        <w:tc>
          <w:tcPr>
            <w:tcW w:w="1984" w:type="dxa"/>
            <w:noWrap w:val="0"/>
            <w:vAlign w:val="center"/>
          </w:tcPr>
          <w:p w14:paraId="1D494B1A">
            <w:pPr>
              <w:pStyle w:val="303"/>
              <w:widowControl/>
              <w:spacing w:line="560" w:lineRule="exact"/>
              <w:ind w:firstLine="560"/>
              <w:jc w:val="center"/>
              <w:rPr>
                <w:rFonts w:ascii="宋体" w:hAnsi="宋体" w:cs="宋体"/>
                <w:sz w:val="28"/>
                <w:szCs w:val="28"/>
              </w:rPr>
            </w:pPr>
          </w:p>
        </w:tc>
        <w:tc>
          <w:tcPr>
            <w:tcW w:w="1702" w:type="dxa"/>
            <w:noWrap w:val="0"/>
            <w:vAlign w:val="center"/>
          </w:tcPr>
          <w:p w14:paraId="0EE9918E">
            <w:pPr>
              <w:pStyle w:val="303"/>
              <w:widowControl/>
              <w:spacing w:line="560" w:lineRule="exact"/>
              <w:ind w:firstLine="560"/>
              <w:jc w:val="center"/>
              <w:rPr>
                <w:rFonts w:ascii="宋体" w:hAnsi="宋体" w:cs="宋体"/>
                <w:sz w:val="28"/>
                <w:szCs w:val="28"/>
              </w:rPr>
            </w:pPr>
          </w:p>
        </w:tc>
        <w:tc>
          <w:tcPr>
            <w:tcW w:w="962" w:type="dxa"/>
            <w:noWrap w:val="0"/>
            <w:vAlign w:val="center"/>
          </w:tcPr>
          <w:p w14:paraId="7D5436A5">
            <w:pPr>
              <w:pStyle w:val="303"/>
              <w:widowControl/>
              <w:spacing w:line="560" w:lineRule="exact"/>
              <w:ind w:firstLine="560"/>
              <w:jc w:val="center"/>
              <w:rPr>
                <w:rFonts w:ascii="宋体" w:hAnsi="宋体" w:cs="宋体"/>
                <w:sz w:val="28"/>
                <w:szCs w:val="28"/>
              </w:rPr>
            </w:pPr>
          </w:p>
        </w:tc>
      </w:tr>
      <w:tr w14:paraId="7EBC7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24552FA">
            <w:pPr>
              <w:pStyle w:val="303"/>
              <w:widowControl/>
              <w:spacing w:line="560" w:lineRule="exact"/>
              <w:ind w:firstLine="560"/>
              <w:jc w:val="center"/>
              <w:rPr>
                <w:rFonts w:ascii="宋体" w:hAnsi="宋体" w:cs="宋体"/>
                <w:sz w:val="28"/>
                <w:szCs w:val="28"/>
              </w:rPr>
            </w:pPr>
          </w:p>
        </w:tc>
        <w:tc>
          <w:tcPr>
            <w:tcW w:w="1843" w:type="dxa"/>
            <w:noWrap w:val="0"/>
            <w:vAlign w:val="center"/>
          </w:tcPr>
          <w:p w14:paraId="20F2C439">
            <w:pPr>
              <w:pStyle w:val="303"/>
              <w:widowControl/>
              <w:spacing w:line="560" w:lineRule="exact"/>
              <w:ind w:firstLine="560"/>
              <w:jc w:val="center"/>
              <w:rPr>
                <w:rFonts w:ascii="宋体" w:hAnsi="宋体" w:cs="宋体"/>
                <w:sz w:val="28"/>
                <w:szCs w:val="28"/>
              </w:rPr>
            </w:pPr>
          </w:p>
        </w:tc>
        <w:tc>
          <w:tcPr>
            <w:tcW w:w="992" w:type="dxa"/>
            <w:noWrap w:val="0"/>
            <w:vAlign w:val="center"/>
          </w:tcPr>
          <w:p w14:paraId="35733373">
            <w:pPr>
              <w:pStyle w:val="303"/>
              <w:widowControl/>
              <w:spacing w:line="560" w:lineRule="exact"/>
              <w:ind w:firstLine="560"/>
              <w:jc w:val="center"/>
              <w:rPr>
                <w:rFonts w:ascii="宋体" w:hAnsi="宋体" w:cs="宋体"/>
                <w:sz w:val="28"/>
                <w:szCs w:val="28"/>
              </w:rPr>
            </w:pPr>
          </w:p>
        </w:tc>
        <w:tc>
          <w:tcPr>
            <w:tcW w:w="1984" w:type="dxa"/>
            <w:noWrap w:val="0"/>
            <w:vAlign w:val="center"/>
          </w:tcPr>
          <w:p w14:paraId="708E9F9A">
            <w:pPr>
              <w:pStyle w:val="303"/>
              <w:widowControl/>
              <w:spacing w:line="560" w:lineRule="exact"/>
              <w:ind w:firstLine="560"/>
              <w:jc w:val="center"/>
              <w:rPr>
                <w:rFonts w:ascii="宋体" w:hAnsi="宋体" w:cs="宋体"/>
                <w:sz w:val="28"/>
                <w:szCs w:val="28"/>
              </w:rPr>
            </w:pPr>
          </w:p>
        </w:tc>
        <w:tc>
          <w:tcPr>
            <w:tcW w:w="1702" w:type="dxa"/>
            <w:noWrap w:val="0"/>
            <w:vAlign w:val="center"/>
          </w:tcPr>
          <w:p w14:paraId="715FF961">
            <w:pPr>
              <w:pStyle w:val="303"/>
              <w:widowControl/>
              <w:spacing w:line="560" w:lineRule="exact"/>
              <w:ind w:firstLine="560"/>
              <w:jc w:val="center"/>
              <w:rPr>
                <w:rFonts w:ascii="宋体" w:hAnsi="宋体" w:cs="宋体"/>
                <w:sz w:val="28"/>
                <w:szCs w:val="28"/>
              </w:rPr>
            </w:pPr>
          </w:p>
        </w:tc>
        <w:tc>
          <w:tcPr>
            <w:tcW w:w="962" w:type="dxa"/>
            <w:noWrap w:val="0"/>
            <w:vAlign w:val="center"/>
          </w:tcPr>
          <w:p w14:paraId="3B2E8334">
            <w:pPr>
              <w:pStyle w:val="303"/>
              <w:widowControl/>
              <w:spacing w:line="560" w:lineRule="exact"/>
              <w:ind w:firstLine="560"/>
              <w:jc w:val="center"/>
              <w:rPr>
                <w:rFonts w:ascii="宋体" w:hAnsi="宋体" w:cs="宋体"/>
                <w:sz w:val="28"/>
                <w:szCs w:val="28"/>
              </w:rPr>
            </w:pPr>
          </w:p>
        </w:tc>
      </w:tr>
      <w:tr w14:paraId="18722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1AD146E">
            <w:pPr>
              <w:pStyle w:val="303"/>
              <w:widowControl/>
              <w:spacing w:line="560" w:lineRule="exact"/>
              <w:ind w:firstLine="560"/>
              <w:jc w:val="center"/>
              <w:rPr>
                <w:rFonts w:ascii="宋体" w:hAnsi="宋体" w:cs="宋体"/>
                <w:sz w:val="28"/>
                <w:szCs w:val="28"/>
              </w:rPr>
            </w:pPr>
          </w:p>
        </w:tc>
        <w:tc>
          <w:tcPr>
            <w:tcW w:w="1843" w:type="dxa"/>
            <w:noWrap w:val="0"/>
            <w:vAlign w:val="center"/>
          </w:tcPr>
          <w:p w14:paraId="2E1808C0">
            <w:pPr>
              <w:pStyle w:val="303"/>
              <w:widowControl/>
              <w:spacing w:line="560" w:lineRule="exact"/>
              <w:ind w:firstLine="560"/>
              <w:jc w:val="center"/>
              <w:rPr>
                <w:rFonts w:ascii="宋体" w:hAnsi="宋体" w:cs="宋体"/>
                <w:sz w:val="28"/>
                <w:szCs w:val="28"/>
              </w:rPr>
            </w:pPr>
          </w:p>
        </w:tc>
        <w:tc>
          <w:tcPr>
            <w:tcW w:w="992" w:type="dxa"/>
            <w:noWrap w:val="0"/>
            <w:vAlign w:val="center"/>
          </w:tcPr>
          <w:p w14:paraId="14C55F51">
            <w:pPr>
              <w:pStyle w:val="303"/>
              <w:widowControl/>
              <w:spacing w:line="560" w:lineRule="exact"/>
              <w:ind w:firstLine="560"/>
              <w:jc w:val="center"/>
              <w:rPr>
                <w:rFonts w:ascii="宋体" w:hAnsi="宋体" w:cs="宋体"/>
                <w:sz w:val="28"/>
                <w:szCs w:val="28"/>
              </w:rPr>
            </w:pPr>
          </w:p>
        </w:tc>
        <w:tc>
          <w:tcPr>
            <w:tcW w:w="1984" w:type="dxa"/>
            <w:noWrap w:val="0"/>
            <w:vAlign w:val="center"/>
          </w:tcPr>
          <w:p w14:paraId="740CE184">
            <w:pPr>
              <w:pStyle w:val="303"/>
              <w:widowControl/>
              <w:spacing w:line="560" w:lineRule="exact"/>
              <w:ind w:firstLine="560"/>
              <w:jc w:val="center"/>
              <w:rPr>
                <w:rFonts w:ascii="宋体" w:hAnsi="宋体" w:cs="宋体"/>
                <w:sz w:val="28"/>
                <w:szCs w:val="28"/>
              </w:rPr>
            </w:pPr>
          </w:p>
        </w:tc>
        <w:tc>
          <w:tcPr>
            <w:tcW w:w="1702" w:type="dxa"/>
            <w:noWrap w:val="0"/>
            <w:vAlign w:val="center"/>
          </w:tcPr>
          <w:p w14:paraId="15634099">
            <w:pPr>
              <w:pStyle w:val="303"/>
              <w:widowControl/>
              <w:spacing w:line="560" w:lineRule="exact"/>
              <w:ind w:firstLine="560"/>
              <w:jc w:val="center"/>
              <w:rPr>
                <w:rFonts w:ascii="宋体" w:hAnsi="宋体" w:cs="宋体"/>
                <w:sz w:val="28"/>
                <w:szCs w:val="28"/>
              </w:rPr>
            </w:pPr>
          </w:p>
        </w:tc>
        <w:tc>
          <w:tcPr>
            <w:tcW w:w="962" w:type="dxa"/>
            <w:noWrap w:val="0"/>
            <w:vAlign w:val="center"/>
          </w:tcPr>
          <w:p w14:paraId="2994D547">
            <w:pPr>
              <w:pStyle w:val="303"/>
              <w:widowControl/>
              <w:spacing w:line="560" w:lineRule="exact"/>
              <w:ind w:firstLine="560"/>
              <w:jc w:val="center"/>
              <w:rPr>
                <w:rFonts w:ascii="宋体" w:hAnsi="宋体" w:cs="宋体"/>
                <w:sz w:val="28"/>
                <w:szCs w:val="28"/>
              </w:rPr>
            </w:pPr>
          </w:p>
        </w:tc>
      </w:tr>
      <w:tr w14:paraId="7CA5E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35A5FBE">
            <w:pPr>
              <w:pStyle w:val="303"/>
              <w:widowControl/>
              <w:spacing w:line="560" w:lineRule="exact"/>
              <w:ind w:firstLine="560"/>
              <w:jc w:val="center"/>
              <w:rPr>
                <w:rFonts w:ascii="宋体" w:hAnsi="宋体" w:cs="宋体"/>
                <w:sz w:val="28"/>
                <w:szCs w:val="28"/>
              </w:rPr>
            </w:pPr>
          </w:p>
        </w:tc>
        <w:tc>
          <w:tcPr>
            <w:tcW w:w="1843" w:type="dxa"/>
            <w:noWrap w:val="0"/>
            <w:vAlign w:val="center"/>
          </w:tcPr>
          <w:p w14:paraId="28E72042">
            <w:pPr>
              <w:pStyle w:val="303"/>
              <w:widowControl/>
              <w:spacing w:line="560" w:lineRule="exact"/>
              <w:ind w:firstLine="560"/>
              <w:jc w:val="center"/>
              <w:rPr>
                <w:rFonts w:ascii="宋体" w:hAnsi="宋体" w:cs="宋体"/>
                <w:sz w:val="28"/>
                <w:szCs w:val="28"/>
              </w:rPr>
            </w:pPr>
          </w:p>
        </w:tc>
        <w:tc>
          <w:tcPr>
            <w:tcW w:w="992" w:type="dxa"/>
            <w:noWrap w:val="0"/>
            <w:vAlign w:val="center"/>
          </w:tcPr>
          <w:p w14:paraId="6AC7CEC7">
            <w:pPr>
              <w:pStyle w:val="303"/>
              <w:widowControl/>
              <w:spacing w:line="560" w:lineRule="exact"/>
              <w:ind w:firstLine="560"/>
              <w:jc w:val="center"/>
              <w:rPr>
                <w:rFonts w:ascii="宋体" w:hAnsi="宋体" w:cs="宋体"/>
                <w:sz w:val="28"/>
                <w:szCs w:val="28"/>
              </w:rPr>
            </w:pPr>
          </w:p>
        </w:tc>
        <w:tc>
          <w:tcPr>
            <w:tcW w:w="1984" w:type="dxa"/>
            <w:noWrap w:val="0"/>
            <w:vAlign w:val="center"/>
          </w:tcPr>
          <w:p w14:paraId="7901AF85">
            <w:pPr>
              <w:pStyle w:val="303"/>
              <w:widowControl/>
              <w:spacing w:line="560" w:lineRule="exact"/>
              <w:ind w:firstLine="560"/>
              <w:jc w:val="center"/>
              <w:rPr>
                <w:rFonts w:ascii="宋体" w:hAnsi="宋体" w:cs="宋体"/>
                <w:sz w:val="28"/>
                <w:szCs w:val="28"/>
              </w:rPr>
            </w:pPr>
          </w:p>
        </w:tc>
        <w:tc>
          <w:tcPr>
            <w:tcW w:w="1702" w:type="dxa"/>
            <w:noWrap w:val="0"/>
            <w:vAlign w:val="center"/>
          </w:tcPr>
          <w:p w14:paraId="40162DAC">
            <w:pPr>
              <w:pStyle w:val="303"/>
              <w:widowControl/>
              <w:spacing w:line="560" w:lineRule="exact"/>
              <w:ind w:firstLine="560"/>
              <w:jc w:val="center"/>
              <w:rPr>
                <w:rFonts w:ascii="宋体" w:hAnsi="宋体" w:cs="宋体"/>
                <w:sz w:val="28"/>
                <w:szCs w:val="28"/>
              </w:rPr>
            </w:pPr>
          </w:p>
        </w:tc>
        <w:tc>
          <w:tcPr>
            <w:tcW w:w="962" w:type="dxa"/>
            <w:noWrap w:val="0"/>
            <w:vAlign w:val="center"/>
          </w:tcPr>
          <w:p w14:paraId="1498A9CD">
            <w:pPr>
              <w:pStyle w:val="303"/>
              <w:widowControl/>
              <w:spacing w:line="560" w:lineRule="exact"/>
              <w:ind w:firstLine="560"/>
              <w:jc w:val="center"/>
              <w:rPr>
                <w:rFonts w:ascii="宋体" w:hAnsi="宋体" w:cs="宋体"/>
                <w:sz w:val="28"/>
                <w:szCs w:val="28"/>
              </w:rPr>
            </w:pPr>
          </w:p>
        </w:tc>
      </w:tr>
      <w:tr w14:paraId="0B8AD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5CA6925">
            <w:pPr>
              <w:pStyle w:val="303"/>
              <w:widowControl/>
              <w:spacing w:line="560" w:lineRule="exact"/>
              <w:ind w:firstLine="560"/>
              <w:jc w:val="center"/>
              <w:rPr>
                <w:rFonts w:ascii="宋体" w:hAnsi="宋体" w:cs="宋体"/>
                <w:sz w:val="28"/>
                <w:szCs w:val="28"/>
              </w:rPr>
            </w:pPr>
          </w:p>
        </w:tc>
        <w:tc>
          <w:tcPr>
            <w:tcW w:w="1843" w:type="dxa"/>
            <w:noWrap w:val="0"/>
            <w:vAlign w:val="center"/>
          </w:tcPr>
          <w:p w14:paraId="54727EF4">
            <w:pPr>
              <w:pStyle w:val="303"/>
              <w:widowControl/>
              <w:spacing w:line="560" w:lineRule="exact"/>
              <w:ind w:firstLine="560"/>
              <w:jc w:val="center"/>
              <w:rPr>
                <w:rFonts w:ascii="宋体" w:hAnsi="宋体" w:cs="宋体"/>
                <w:sz w:val="28"/>
                <w:szCs w:val="28"/>
              </w:rPr>
            </w:pPr>
          </w:p>
        </w:tc>
        <w:tc>
          <w:tcPr>
            <w:tcW w:w="992" w:type="dxa"/>
            <w:noWrap w:val="0"/>
            <w:vAlign w:val="center"/>
          </w:tcPr>
          <w:p w14:paraId="76EA3D86">
            <w:pPr>
              <w:pStyle w:val="303"/>
              <w:widowControl/>
              <w:spacing w:line="560" w:lineRule="exact"/>
              <w:ind w:firstLine="560"/>
              <w:jc w:val="center"/>
              <w:rPr>
                <w:rFonts w:ascii="宋体" w:hAnsi="宋体" w:cs="宋体"/>
                <w:sz w:val="28"/>
                <w:szCs w:val="28"/>
              </w:rPr>
            </w:pPr>
          </w:p>
        </w:tc>
        <w:tc>
          <w:tcPr>
            <w:tcW w:w="1984" w:type="dxa"/>
            <w:noWrap w:val="0"/>
            <w:vAlign w:val="center"/>
          </w:tcPr>
          <w:p w14:paraId="7E237C24">
            <w:pPr>
              <w:pStyle w:val="303"/>
              <w:widowControl/>
              <w:spacing w:line="560" w:lineRule="exact"/>
              <w:ind w:firstLine="560"/>
              <w:jc w:val="center"/>
              <w:rPr>
                <w:rFonts w:ascii="宋体" w:hAnsi="宋体" w:cs="宋体"/>
                <w:sz w:val="28"/>
                <w:szCs w:val="28"/>
              </w:rPr>
            </w:pPr>
          </w:p>
        </w:tc>
        <w:tc>
          <w:tcPr>
            <w:tcW w:w="1702" w:type="dxa"/>
            <w:noWrap w:val="0"/>
            <w:vAlign w:val="center"/>
          </w:tcPr>
          <w:p w14:paraId="1D90048F">
            <w:pPr>
              <w:pStyle w:val="303"/>
              <w:widowControl/>
              <w:spacing w:line="560" w:lineRule="exact"/>
              <w:ind w:firstLine="560"/>
              <w:jc w:val="center"/>
              <w:rPr>
                <w:rFonts w:ascii="宋体" w:hAnsi="宋体" w:cs="宋体"/>
                <w:sz w:val="28"/>
                <w:szCs w:val="28"/>
              </w:rPr>
            </w:pPr>
          </w:p>
        </w:tc>
        <w:tc>
          <w:tcPr>
            <w:tcW w:w="962" w:type="dxa"/>
            <w:noWrap w:val="0"/>
            <w:vAlign w:val="center"/>
          </w:tcPr>
          <w:p w14:paraId="4FBAC82B">
            <w:pPr>
              <w:pStyle w:val="303"/>
              <w:widowControl/>
              <w:spacing w:line="560" w:lineRule="exact"/>
              <w:ind w:firstLine="560"/>
              <w:jc w:val="center"/>
              <w:rPr>
                <w:rFonts w:ascii="宋体" w:hAnsi="宋体" w:cs="宋体"/>
                <w:sz w:val="28"/>
                <w:szCs w:val="28"/>
              </w:rPr>
            </w:pPr>
          </w:p>
        </w:tc>
      </w:tr>
      <w:tr w14:paraId="6E9DB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43556DC">
            <w:pPr>
              <w:pStyle w:val="303"/>
              <w:widowControl/>
              <w:spacing w:line="560" w:lineRule="exact"/>
              <w:ind w:firstLine="560"/>
              <w:jc w:val="center"/>
              <w:rPr>
                <w:rFonts w:ascii="宋体" w:hAnsi="宋体" w:cs="宋体"/>
                <w:sz w:val="28"/>
                <w:szCs w:val="28"/>
              </w:rPr>
            </w:pPr>
          </w:p>
        </w:tc>
        <w:tc>
          <w:tcPr>
            <w:tcW w:w="1843" w:type="dxa"/>
            <w:noWrap w:val="0"/>
            <w:vAlign w:val="center"/>
          </w:tcPr>
          <w:p w14:paraId="5154BD3E">
            <w:pPr>
              <w:pStyle w:val="303"/>
              <w:widowControl/>
              <w:spacing w:line="560" w:lineRule="exact"/>
              <w:ind w:firstLine="560"/>
              <w:jc w:val="center"/>
              <w:rPr>
                <w:rFonts w:ascii="宋体" w:hAnsi="宋体" w:cs="宋体"/>
                <w:sz w:val="28"/>
                <w:szCs w:val="28"/>
              </w:rPr>
            </w:pPr>
          </w:p>
        </w:tc>
        <w:tc>
          <w:tcPr>
            <w:tcW w:w="992" w:type="dxa"/>
            <w:noWrap w:val="0"/>
            <w:vAlign w:val="center"/>
          </w:tcPr>
          <w:p w14:paraId="0B56C887">
            <w:pPr>
              <w:pStyle w:val="303"/>
              <w:widowControl/>
              <w:spacing w:line="560" w:lineRule="exact"/>
              <w:ind w:firstLine="560"/>
              <w:jc w:val="center"/>
              <w:rPr>
                <w:rFonts w:ascii="宋体" w:hAnsi="宋体" w:cs="宋体"/>
                <w:sz w:val="28"/>
                <w:szCs w:val="28"/>
              </w:rPr>
            </w:pPr>
          </w:p>
        </w:tc>
        <w:tc>
          <w:tcPr>
            <w:tcW w:w="1984" w:type="dxa"/>
            <w:noWrap w:val="0"/>
            <w:vAlign w:val="center"/>
          </w:tcPr>
          <w:p w14:paraId="3C6465B3">
            <w:pPr>
              <w:pStyle w:val="303"/>
              <w:widowControl/>
              <w:spacing w:line="560" w:lineRule="exact"/>
              <w:ind w:firstLine="560"/>
              <w:jc w:val="center"/>
              <w:rPr>
                <w:rFonts w:ascii="宋体" w:hAnsi="宋体" w:cs="宋体"/>
                <w:sz w:val="28"/>
                <w:szCs w:val="28"/>
              </w:rPr>
            </w:pPr>
          </w:p>
        </w:tc>
        <w:tc>
          <w:tcPr>
            <w:tcW w:w="1702" w:type="dxa"/>
            <w:noWrap w:val="0"/>
            <w:vAlign w:val="center"/>
          </w:tcPr>
          <w:p w14:paraId="36E29142">
            <w:pPr>
              <w:pStyle w:val="303"/>
              <w:widowControl/>
              <w:spacing w:line="560" w:lineRule="exact"/>
              <w:ind w:firstLine="560"/>
              <w:jc w:val="center"/>
              <w:rPr>
                <w:rFonts w:ascii="宋体" w:hAnsi="宋体" w:cs="宋体"/>
                <w:sz w:val="28"/>
                <w:szCs w:val="28"/>
              </w:rPr>
            </w:pPr>
          </w:p>
        </w:tc>
        <w:tc>
          <w:tcPr>
            <w:tcW w:w="962" w:type="dxa"/>
            <w:noWrap w:val="0"/>
            <w:vAlign w:val="center"/>
          </w:tcPr>
          <w:p w14:paraId="474709DD">
            <w:pPr>
              <w:pStyle w:val="303"/>
              <w:widowControl/>
              <w:spacing w:line="560" w:lineRule="exact"/>
              <w:ind w:firstLine="560"/>
              <w:jc w:val="center"/>
              <w:rPr>
                <w:rFonts w:ascii="宋体" w:hAnsi="宋体" w:cs="宋体"/>
                <w:sz w:val="28"/>
                <w:szCs w:val="28"/>
              </w:rPr>
            </w:pPr>
          </w:p>
        </w:tc>
      </w:tr>
    </w:tbl>
    <w:p w14:paraId="45188822">
      <w:pPr>
        <w:pStyle w:val="329"/>
        <w:spacing w:line="460" w:lineRule="exact"/>
        <w:ind w:firstLine="398"/>
      </w:pPr>
      <w:r>
        <w:rPr>
          <w:rFonts w:hint="eastAsia"/>
          <w:b/>
          <w:lang w:bidi="ar"/>
        </w:rPr>
        <w:t>注：如供应商成交，项目组成员必须按本表承诺人员操作，不得随意更换。按磋商文件要求附相关人员证书。</w:t>
      </w:r>
    </w:p>
    <w:p w14:paraId="24CA9150">
      <w:pPr>
        <w:pStyle w:val="329"/>
        <w:spacing w:line="500" w:lineRule="exact"/>
        <w:ind w:firstLine="280"/>
      </w:pPr>
    </w:p>
    <w:p w14:paraId="6D9C300E">
      <w:pPr>
        <w:pStyle w:val="304"/>
        <w:spacing w:line="500" w:lineRule="exact"/>
        <w:outlineLvl w:val="1"/>
        <w:rPr>
          <w:rFonts w:ascii="宋体" w:hAnsi="宋体" w:cs="宋体"/>
        </w:rPr>
      </w:pPr>
      <w:r>
        <w:rPr>
          <w:rFonts w:hint="eastAsia" w:ascii="宋体" w:hAnsi="宋体" w:cs="宋体"/>
        </w:rPr>
        <w:br w:type="page" w:clear="all"/>
      </w:r>
      <w:bookmarkStart w:id="259" w:name="_Toc11176"/>
      <w:bookmarkStart w:id="260" w:name="_Toc25992"/>
      <w:bookmarkStart w:id="261" w:name="_Toc32735"/>
      <w:r>
        <w:rPr>
          <w:rFonts w:hint="eastAsia" w:ascii="宋体" w:hAnsi="宋体" w:cs="宋体"/>
          <w:iCs/>
          <w:sz w:val="32"/>
          <w:szCs w:val="32"/>
        </w:rPr>
        <w:t>十一、</w:t>
      </w:r>
      <w:bookmarkEnd w:id="259"/>
      <w:r>
        <w:rPr>
          <w:rFonts w:hint="eastAsia" w:ascii="宋体" w:hAnsi="宋体" w:cs="宋体"/>
          <w:iCs/>
          <w:sz w:val="32"/>
          <w:szCs w:val="32"/>
        </w:rPr>
        <w:t>企业业绩</w:t>
      </w:r>
      <w:bookmarkEnd w:id="260"/>
      <w:bookmarkEnd w:id="261"/>
    </w:p>
    <w:p w14:paraId="691DFA61">
      <w:pPr>
        <w:pStyle w:val="305"/>
        <w:jc w:val="center"/>
        <w:rPr>
          <w:rFonts w:ascii="宋体" w:hAnsi="宋体" w:cs="宋体"/>
          <w:b/>
          <w:sz w:val="32"/>
          <w:szCs w:val="32"/>
        </w:rPr>
      </w:pPr>
      <w:r>
        <w:rPr>
          <w:rFonts w:hint="eastAsia" w:ascii="宋体" w:hAnsi="宋体" w:cs="宋体"/>
          <w:b/>
          <w:sz w:val="32"/>
          <w:szCs w:val="32"/>
        </w:rPr>
        <w:t>投标人承担类似项目业绩一览表</w:t>
      </w:r>
    </w:p>
    <w:tbl>
      <w:tblPr>
        <w:tblStyle w:val="4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6B763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24ED4842">
            <w:pPr>
              <w:pStyle w:val="306"/>
              <w:spacing w:line="560" w:lineRule="exact"/>
              <w:jc w:val="center"/>
              <w:rPr>
                <w:rFonts w:ascii="宋体" w:hAnsi="宋体" w:cs="宋体"/>
                <w:sz w:val="28"/>
                <w:szCs w:val="28"/>
              </w:rPr>
            </w:pPr>
            <w:r>
              <w:rPr>
                <w:rFonts w:hint="eastAsia" w:ascii="宋体" w:hAnsi="宋体" w:cs="宋体"/>
                <w:sz w:val="28"/>
                <w:szCs w:val="28"/>
              </w:rPr>
              <w:t>序号</w:t>
            </w:r>
          </w:p>
        </w:tc>
        <w:tc>
          <w:tcPr>
            <w:tcW w:w="3827" w:type="dxa"/>
            <w:noWrap w:val="0"/>
            <w:vAlign w:val="center"/>
          </w:tcPr>
          <w:p w14:paraId="7139D3E8">
            <w:pPr>
              <w:pStyle w:val="306"/>
              <w:spacing w:line="560" w:lineRule="exact"/>
              <w:jc w:val="center"/>
              <w:rPr>
                <w:rFonts w:ascii="宋体" w:hAnsi="宋体" w:cs="宋体"/>
                <w:sz w:val="28"/>
                <w:szCs w:val="28"/>
              </w:rPr>
            </w:pPr>
            <w:r>
              <w:rPr>
                <w:rFonts w:hint="eastAsia" w:ascii="宋体" w:hAnsi="宋体" w:cs="宋体"/>
                <w:sz w:val="28"/>
                <w:szCs w:val="28"/>
              </w:rPr>
              <w:t>项目名称</w:t>
            </w:r>
          </w:p>
        </w:tc>
        <w:tc>
          <w:tcPr>
            <w:tcW w:w="2433" w:type="dxa"/>
            <w:noWrap w:val="0"/>
            <w:vAlign w:val="center"/>
          </w:tcPr>
          <w:p w14:paraId="71FFCDC0">
            <w:pPr>
              <w:pStyle w:val="306"/>
              <w:spacing w:line="560" w:lineRule="exact"/>
              <w:jc w:val="center"/>
              <w:rPr>
                <w:rFonts w:ascii="宋体" w:hAnsi="宋体" w:cs="宋体"/>
                <w:sz w:val="28"/>
                <w:szCs w:val="28"/>
              </w:rPr>
            </w:pPr>
            <w:r>
              <w:rPr>
                <w:rFonts w:hint="eastAsia" w:ascii="宋体" w:hAnsi="宋体" w:cs="宋体"/>
                <w:sz w:val="28"/>
                <w:szCs w:val="28"/>
              </w:rPr>
              <w:t>采购单位</w:t>
            </w:r>
          </w:p>
        </w:tc>
        <w:tc>
          <w:tcPr>
            <w:tcW w:w="1395" w:type="dxa"/>
            <w:noWrap w:val="0"/>
            <w:vAlign w:val="center"/>
          </w:tcPr>
          <w:p w14:paraId="1FF4DEF7">
            <w:pPr>
              <w:pStyle w:val="306"/>
              <w:spacing w:line="560" w:lineRule="exact"/>
              <w:jc w:val="center"/>
              <w:rPr>
                <w:rFonts w:ascii="宋体" w:hAnsi="宋体" w:cs="宋体"/>
                <w:sz w:val="28"/>
                <w:szCs w:val="28"/>
              </w:rPr>
            </w:pPr>
            <w:r>
              <w:rPr>
                <w:rFonts w:hint="eastAsia" w:ascii="宋体" w:hAnsi="宋体" w:cs="宋体"/>
                <w:sz w:val="28"/>
                <w:szCs w:val="28"/>
              </w:rPr>
              <w:t>合同金额</w:t>
            </w:r>
          </w:p>
        </w:tc>
      </w:tr>
      <w:tr w14:paraId="7274F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2B6B13B2">
            <w:pPr>
              <w:pStyle w:val="306"/>
              <w:spacing w:line="560" w:lineRule="exact"/>
              <w:jc w:val="center"/>
              <w:rPr>
                <w:rFonts w:ascii="宋体" w:hAnsi="宋体" w:cs="宋体"/>
                <w:sz w:val="28"/>
              </w:rPr>
            </w:pPr>
          </w:p>
        </w:tc>
        <w:tc>
          <w:tcPr>
            <w:tcW w:w="3827" w:type="dxa"/>
            <w:noWrap w:val="0"/>
            <w:vAlign w:val="center"/>
          </w:tcPr>
          <w:p w14:paraId="7FCF8CCD">
            <w:pPr>
              <w:pStyle w:val="306"/>
              <w:spacing w:line="560" w:lineRule="exact"/>
              <w:jc w:val="center"/>
              <w:rPr>
                <w:rFonts w:ascii="宋体" w:hAnsi="宋体" w:cs="宋体"/>
                <w:sz w:val="28"/>
              </w:rPr>
            </w:pPr>
          </w:p>
        </w:tc>
        <w:tc>
          <w:tcPr>
            <w:tcW w:w="2433" w:type="dxa"/>
            <w:noWrap w:val="0"/>
            <w:vAlign w:val="center"/>
          </w:tcPr>
          <w:p w14:paraId="5C4C2E5C">
            <w:pPr>
              <w:pStyle w:val="306"/>
              <w:spacing w:line="560" w:lineRule="exact"/>
              <w:jc w:val="center"/>
              <w:rPr>
                <w:rFonts w:ascii="宋体" w:hAnsi="宋体" w:cs="宋体"/>
                <w:sz w:val="28"/>
              </w:rPr>
            </w:pPr>
          </w:p>
        </w:tc>
        <w:tc>
          <w:tcPr>
            <w:tcW w:w="1395" w:type="dxa"/>
            <w:noWrap w:val="0"/>
            <w:vAlign w:val="center"/>
          </w:tcPr>
          <w:p w14:paraId="76DFAC50">
            <w:pPr>
              <w:pStyle w:val="306"/>
              <w:spacing w:line="560" w:lineRule="exact"/>
              <w:jc w:val="center"/>
              <w:rPr>
                <w:rFonts w:ascii="宋体" w:hAnsi="宋体" w:cs="宋体"/>
                <w:sz w:val="28"/>
              </w:rPr>
            </w:pPr>
          </w:p>
        </w:tc>
      </w:tr>
      <w:tr w14:paraId="2F510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2444535E">
            <w:pPr>
              <w:pStyle w:val="306"/>
              <w:spacing w:line="560" w:lineRule="exact"/>
              <w:jc w:val="center"/>
              <w:rPr>
                <w:rFonts w:ascii="宋体" w:hAnsi="宋体" w:cs="宋体"/>
                <w:sz w:val="28"/>
              </w:rPr>
            </w:pPr>
          </w:p>
        </w:tc>
        <w:tc>
          <w:tcPr>
            <w:tcW w:w="3827" w:type="dxa"/>
            <w:noWrap w:val="0"/>
            <w:vAlign w:val="center"/>
          </w:tcPr>
          <w:p w14:paraId="5DD58C07">
            <w:pPr>
              <w:pStyle w:val="306"/>
              <w:spacing w:line="560" w:lineRule="exact"/>
              <w:jc w:val="center"/>
              <w:rPr>
                <w:rFonts w:ascii="宋体" w:hAnsi="宋体" w:cs="宋体"/>
                <w:sz w:val="28"/>
              </w:rPr>
            </w:pPr>
          </w:p>
        </w:tc>
        <w:tc>
          <w:tcPr>
            <w:tcW w:w="2433" w:type="dxa"/>
            <w:noWrap w:val="0"/>
            <w:vAlign w:val="center"/>
          </w:tcPr>
          <w:p w14:paraId="5C091CDF">
            <w:pPr>
              <w:pStyle w:val="306"/>
              <w:spacing w:line="560" w:lineRule="exact"/>
              <w:jc w:val="center"/>
              <w:rPr>
                <w:rFonts w:ascii="宋体" w:hAnsi="宋体" w:cs="宋体"/>
                <w:sz w:val="28"/>
              </w:rPr>
            </w:pPr>
          </w:p>
        </w:tc>
        <w:tc>
          <w:tcPr>
            <w:tcW w:w="1395" w:type="dxa"/>
            <w:noWrap w:val="0"/>
            <w:vAlign w:val="center"/>
          </w:tcPr>
          <w:p w14:paraId="632D7E42">
            <w:pPr>
              <w:pStyle w:val="306"/>
              <w:spacing w:line="560" w:lineRule="exact"/>
              <w:jc w:val="center"/>
              <w:rPr>
                <w:rFonts w:ascii="宋体" w:hAnsi="宋体" w:cs="宋体"/>
                <w:sz w:val="28"/>
              </w:rPr>
            </w:pPr>
          </w:p>
        </w:tc>
      </w:tr>
      <w:tr w14:paraId="3BAF3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20E34C18">
            <w:pPr>
              <w:pStyle w:val="306"/>
              <w:spacing w:line="560" w:lineRule="exact"/>
              <w:jc w:val="center"/>
              <w:rPr>
                <w:rFonts w:ascii="宋体" w:hAnsi="宋体" w:cs="宋体"/>
                <w:sz w:val="28"/>
              </w:rPr>
            </w:pPr>
          </w:p>
        </w:tc>
        <w:tc>
          <w:tcPr>
            <w:tcW w:w="3827" w:type="dxa"/>
            <w:noWrap w:val="0"/>
            <w:vAlign w:val="center"/>
          </w:tcPr>
          <w:p w14:paraId="36C08A1B">
            <w:pPr>
              <w:pStyle w:val="306"/>
              <w:spacing w:line="560" w:lineRule="exact"/>
              <w:jc w:val="center"/>
              <w:rPr>
                <w:rFonts w:ascii="宋体" w:hAnsi="宋体" w:cs="宋体"/>
                <w:sz w:val="28"/>
              </w:rPr>
            </w:pPr>
          </w:p>
        </w:tc>
        <w:tc>
          <w:tcPr>
            <w:tcW w:w="2433" w:type="dxa"/>
            <w:noWrap w:val="0"/>
            <w:vAlign w:val="center"/>
          </w:tcPr>
          <w:p w14:paraId="76AD164F">
            <w:pPr>
              <w:pStyle w:val="306"/>
              <w:spacing w:line="560" w:lineRule="exact"/>
              <w:jc w:val="center"/>
              <w:rPr>
                <w:rFonts w:ascii="宋体" w:hAnsi="宋体" w:cs="宋体"/>
                <w:sz w:val="28"/>
              </w:rPr>
            </w:pPr>
          </w:p>
        </w:tc>
        <w:tc>
          <w:tcPr>
            <w:tcW w:w="1395" w:type="dxa"/>
            <w:noWrap w:val="0"/>
            <w:vAlign w:val="center"/>
          </w:tcPr>
          <w:p w14:paraId="59C3B67E">
            <w:pPr>
              <w:pStyle w:val="306"/>
              <w:spacing w:line="560" w:lineRule="exact"/>
              <w:jc w:val="center"/>
              <w:rPr>
                <w:rFonts w:ascii="宋体" w:hAnsi="宋体" w:cs="宋体"/>
                <w:sz w:val="28"/>
              </w:rPr>
            </w:pPr>
          </w:p>
        </w:tc>
      </w:tr>
      <w:tr w14:paraId="39AF5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30F6166C">
            <w:pPr>
              <w:pStyle w:val="306"/>
              <w:spacing w:line="560" w:lineRule="exact"/>
              <w:jc w:val="center"/>
              <w:rPr>
                <w:rFonts w:ascii="宋体" w:hAnsi="宋体" w:cs="宋体"/>
                <w:sz w:val="28"/>
              </w:rPr>
            </w:pPr>
          </w:p>
        </w:tc>
        <w:tc>
          <w:tcPr>
            <w:tcW w:w="3827" w:type="dxa"/>
            <w:noWrap w:val="0"/>
            <w:vAlign w:val="center"/>
          </w:tcPr>
          <w:p w14:paraId="19CA1359">
            <w:pPr>
              <w:pStyle w:val="306"/>
              <w:spacing w:line="560" w:lineRule="exact"/>
              <w:jc w:val="center"/>
              <w:rPr>
                <w:rFonts w:ascii="宋体" w:hAnsi="宋体" w:cs="宋体"/>
                <w:sz w:val="28"/>
              </w:rPr>
            </w:pPr>
          </w:p>
        </w:tc>
        <w:tc>
          <w:tcPr>
            <w:tcW w:w="2433" w:type="dxa"/>
            <w:noWrap w:val="0"/>
            <w:vAlign w:val="center"/>
          </w:tcPr>
          <w:p w14:paraId="19CA16CD">
            <w:pPr>
              <w:pStyle w:val="306"/>
              <w:spacing w:line="560" w:lineRule="exact"/>
              <w:jc w:val="center"/>
              <w:rPr>
                <w:rFonts w:ascii="宋体" w:hAnsi="宋体" w:cs="宋体"/>
                <w:sz w:val="28"/>
              </w:rPr>
            </w:pPr>
          </w:p>
        </w:tc>
        <w:tc>
          <w:tcPr>
            <w:tcW w:w="1395" w:type="dxa"/>
            <w:noWrap w:val="0"/>
            <w:vAlign w:val="center"/>
          </w:tcPr>
          <w:p w14:paraId="14228379">
            <w:pPr>
              <w:pStyle w:val="306"/>
              <w:spacing w:line="560" w:lineRule="exact"/>
              <w:jc w:val="center"/>
              <w:rPr>
                <w:rFonts w:ascii="宋体" w:hAnsi="宋体" w:cs="宋体"/>
                <w:sz w:val="28"/>
              </w:rPr>
            </w:pPr>
          </w:p>
        </w:tc>
      </w:tr>
    </w:tbl>
    <w:p w14:paraId="5DE45D48">
      <w:pPr>
        <w:pStyle w:val="305"/>
        <w:rPr>
          <w:rFonts w:ascii="宋体" w:hAnsi="宋体" w:cs="宋体"/>
        </w:rPr>
      </w:pPr>
      <w:r>
        <w:rPr>
          <w:rFonts w:hint="eastAsia" w:ascii="宋体" w:hAnsi="宋体" w:cs="宋体"/>
          <w:b/>
          <w:sz w:val="24"/>
        </w:rPr>
        <w:t>注：请填写此表，并按要求上传业绩资料电子件。</w:t>
      </w:r>
    </w:p>
    <w:p w14:paraId="08CABE2B">
      <w:pPr>
        <w:rPr>
          <w:rFonts w:ascii="宋体" w:hAnsi="宋体" w:cs="宋体"/>
          <w:b/>
          <w:sz w:val="32"/>
          <w:szCs w:val="32"/>
        </w:rPr>
      </w:pPr>
    </w:p>
    <w:p w14:paraId="7C1499E6">
      <w:pPr>
        <w:pStyle w:val="298"/>
        <w:outlineLvl w:val="1"/>
        <w:rPr>
          <w:rFonts w:ascii="Times New Roman" w:hAnsi="Times New Roman"/>
        </w:rPr>
      </w:pPr>
      <w:bookmarkStart w:id="262" w:name="_Toc28140"/>
      <w:r>
        <w:rPr>
          <w:rFonts w:hint="eastAsia" w:ascii="宋体" w:hAnsi="宋体" w:eastAsia="宋体" w:cs="宋体"/>
        </w:rPr>
        <w:br w:type="page" w:clear="all"/>
      </w:r>
      <w:bookmarkStart w:id="263" w:name="_Toc18253"/>
      <w:bookmarkStart w:id="264" w:name="_Toc16694"/>
      <w:r>
        <w:rPr>
          <w:rFonts w:hint="eastAsia" w:ascii="宋体" w:hAnsi="宋体" w:eastAsia="宋体" w:cs="宋体"/>
          <w:b w:val="0"/>
          <w:iCs/>
          <w:szCs w:val="32"/>
        </w:rPr>
        <w:t>十二、项目实施方案</w:t>
      </w:r>
      <w:bookmarkEnd w:id="263"/>
    </w:p>
    <w:p w14:paraId="21A2C398">
      <w:pPr>
        <w:rPr>
          <w:rFonts w:ascii="宋体" w:hAnsi="宋体" w:cs="宋体"/>
          <w:iCs/>
          <w:szCs w:val="32"/>
        </w:rPr>
      </w:pPr>
      <w:r>
        <w:rPr>
          <w:rFonts w:hint="eastAsia" w:ascii="宋体" w:hAnsi="宋体" w:cs="宋体"/>
          <w:iCs/>
          <w:szCs w:val="32"/>
        </w:rPr>
        <w:t>根据供应商自身情况，结合采购需求、评标办法等要求编写（格式自拟）</w:t>
      </w:r>
      <w:r>
        <w:rPr>
          <w:rFonts w:hint="eastAsia" w:ascii="宋体" w:hAnsi="宋体" w:cs="宋体"/>
          <w:iCs/>
          <w:szCs w:val="32"/>
        </w:rPr>
        <w:br w:type="page" w:clear="all"/>
      </w:r>
    </w:p>
    <w:p w14:paraId="7BF7F45B">
      <w:pPr>
        <w:pStyle w:val="298"/>
        <w:outlineLvl w:val="1"/>
        <w:rPr>
          <w:rFonts w:ascii="宋体" w:hAnsi="宋体" w:eastAsia="宋体" w:cs="宋体"/>
        </w:rPr>
      </w:pPr>
      <w:bookmarkStart w:id="265" w:name="_Toc27634"/>
      <w:r>
        <w:rPr>
          <w:rFonts w:hint="eastAsia" w:ascii="宋体" w:hAnsi="宋体" w:eastAsia="宋体" w:cs="宋体"/>
          <w:b w:val="0"/>
          <w:iCs/>
          <w:szCs w:val="32"/>
        </w:rPr>
        <w:t>十三、磋商所需其他材料</w:t>
      </w:r>
      <w:bookmarkEnd w:id="262"/>
      <w:bookmarkEnd w:id="264"/>
      <w:bookmarkEnd w:id="265"/>
    </w:p>
    <w:p w14:paraId="02E08832">
      <w:pPr>
        <w:pStyle w:val="301"/>
        <w:spacing w:line="360" w:lineRule="auto"/>
        <w:ind w:firstLine="560"/>
        <w:rPr>
          <w:rFonts w:ascii="宋体" w:hAnsi="宋体" w:cs="宋体"/>
          <w:sz w:val="28"/>
          <w:szCs w:val="28"/>
        </w:rPr>
      </w:pPr>
      <w:r>
        <w:rPr>
          <w:rFonts w:hint="eastAsia" w:ascii="宋体" w:hAnsi="宋体" w:cs="宋体"/>
          <w:sz w:val="28"/>
          <w:szCs w:val="28"/>
        </w:rPr>
        <w:t>请在此文档中增加磋商所需其他相关内容（包括资格要求、评分办法、采购需求中涉及的证件证明及其它投标人认为有必要提供的资料），如没有请将此空文档上传。</w:t>
      </w:r>
    </w:p>
    <w:p w14:paraId="61CA0742">
      <w:pPr>
        <w:pStyle w:val="301"/>
        <w:spacing w:line="360" w:lineRule="auto"/>
        <w:ind w:firstLine="560"/>
        <w:jc w:val="center"/>
        <w:rPr>
          <w:rFonts w:ascii="宋体" w:hAnsi="宋体" w:cs="宋体"/>
          <w:b/>
          <w:bCs/>
          <w:sz w:val="32"/>
          <w:szCs w:val="32"/>
        </w:rPr>
      </w:pPr>
      <w:r>
        <w:rPr>
          <w:rFonts w:hint="eastAsia" w:ascii="宋体" w:hAnsi="宋体" w:cs="宋体"/>
          <w:b/>
          <w:bCs/>
          <w:sz w:val="32"/>
          <w:szCs w:val="32"/>
        </w:rPr>
        <w:br w:type="page" w:clear="all"/>
      </w:r>
      <w:bookmarkStart w:id="266" w:name="_Toc3325"/>
      <w:r>
        <w:rPr>
          <w:rFonts w:hint="eastAsia" w:ascii="宋体" w:hAnsi="宋体" w:cs="宋体"/>
          <w:b/>
          <w:bCs/>
          <w:sz w:val="28"/>
          <w:szCs w:val="28"/>
        </w:rPr>
        <w:t>质疑函范本</w:t>
      </w:r>
      <w:bookmarkEnd w:id="266"/>
    </w:p>
    <w:p w14:paraId="7970551D">
      <w:pPr>
        <w:spacing w:before="290" w:line="360" w:lineRule="auto"/>
        <w:rPr>
          <w:rFonts w:ascii="宋体" w:hAnsi="宋体" w:cs="宋体"/>
          <w:bCs/>
          <w:sz w:val="24"/>
          <w:szCs w:val="24"/>
        </w:rPr>
      </w:pPr>
      <w:r>
        <w:rPr>
          <w:rFonts w:hint="eastAsia" w:ascii="宋体" w:hAnsi="宋体" w:cs="宋体"/>
          <w:bCs/>
          <w:sz w:val="24"/>
          <w:szCs w:val="24"/>
        </w:rPr>
        <w:t>一、质疑供应商基本信息</w:t>
      </w:r>
    </w:p>
    <w:p w14:paraId="32D863D4">
      <w:pPr>
        <w:spacing w:line="360" w:lineRule="auto"/>
        <w:rPr>
          <w:rFonts w:ascii="宋体" w:hAnsi="宋体" w:cs="宋体"/>
          <w:sz w:val="24"/>
          <w:szCs w:val="24"/>
          <w:u w:val="single"/>
        </w:rPr>
      </w:pPr>
      <w:r>
        <w:rPr>
          <w:rFonts w:hint="eastAsia" w:ascii="宋体" w:hAnsi="宋体" w:cs="宋体"/>
          <w:sz w:val="24"/>
          <w:szCs w:val="24"/>
        </w:rPr>
        <w:t>质疑供应商：</w:t>
      </w:r>
      <w:r>
        <w:rPr>
          <w:rFonts w:hint="eastAsia" w:ascii="宋体" w:hAnsi="宋体" w:cs="宋体"/>
          <w:sz w:val="24"/>
          <w:szCs w:val="24"/>
          <w:u w:val="single"/>
        </w:rPr>
        <w:t xml:space="preserve">                                                              </w:t>
      </w:r>
    </w:p>
    <w:p w14:paraId="226BB38E">
      <w:pPr>
        <w:spacing w:line="360" w:lineRule="auto"/>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r>
        <w:rPr>
          <w:rFonts w:hint="eastAsia" w:ascii="宋体" w:hAnsi="宋体" w:cs="宋体"/>
          <w:sz w:val="24"/>
          <w:szCs w:val="24"/>
        </w:rPr>
        <w:t>邮编：</w:t>
      </w:r>
      <w:r>
        <w:rPr>
          <w:rFonts w:hint="eastAsia" w:ascii="宋体" w:hAnsi="宋体" w:cs="宋体"/>
          <w:sz w:val="24"/>
          <w:szCs w:val="24"/>
          <w:u w:val="single"/>
        </w:rPr>
        <w:t xml:space="preserve">                                    </w:t>
      </w:r>
    </w:p>
    <w:p w14:paraId="3AC6F5E7">
      <w:pPr>
        <w:spacing w:line="360" w:lineRule="auto"/>
        <w:rPr>
          <w:rFonts w:ascii="宋体" w:hAnsi="宋体" w:cs="宋体"/>
          <w:sz w:val="24"/>
          <w:szCs w:val="24"/>
        </w:rPr>
      </w:pPr>
      <w:r>
        <w:rPr>
          <w:rFonts w:hint="eastAsia" w:ascii="宋体" w:hAnsi="宋体" w:cs="宋体"/>
          <w:sz w:val="24"/>
          <w:szCs w:val="24"/>
        </w:rPr>
        <w:t>联系人：</w:t>
      </w:r>
      <w:r>
        <w:rPr>
          <w:rFonts w:hint="eastAsia" w:ascii="宋体" w:hAnsi="宋体" w:cs="宋体"/>
          <w:sz w:val="24"/>
          <w:szCs w:val="24"/>
          <w:u w:val="single"/>
        </w:rPr>
        <w:t xml:space="preserve">                      </w:t>
      </w:r>
      <w:r>
        <w:rPr>
          <w:rFonts w:hint="eastAsia" w:ascii="宋体" w:hAnsi="宋体" w:cs="宋体"/>
          <w:sz w:val="24"/>
          <w:szCs w:val="24"/>
        </w:rPr>
        <w:t>联系电话：</w:t>
      </w:r>
      <w:r>
        <w:rPr>
          <w:rFonts w:hint="eastAsia" w:ascii="宋体" w:hAnsi="宋体" w:cs="宋体"/>
          <w:sz w:val="24"/>
          <w:szCs w:val="24"/>
          <w:u w:val="single"/>
        </w:rPr>
        <w:t xml:space="preserve">                                       </w:t>
      </w:r>
    </w:p>
    <w:p w14:paraId="698FDE56">
      <w:pPr>
        <w:spacing w:line="360" w:lineRule="auto"/>
        <w:rPr>
          <w:rFonts w:ascii="宋体" w:hAnsi="宋体" w:cs="宋体"/>
          <w:sz w:val="24"/>
          <w:szCs w:val="24"/>
          <w:u w:val="single"/>
        </w:rPr>
      </w:pPr>
      <w:r>
        <w:rPr>
          <w:rFonts w:hint="eastAsia" w:ascii="宋体" w:hAnsi="宋体" w:cs="宋体"/>
          <w:sz w:val="24"/>
          <w:szCs w:val="24"/>
        </w:rPr>
        <w:t>授权代表：</w:t>
      </w:r>
      <w:r>
        <w:rPr>
          <w:rFonts w:hint="eastAsia" w:ascii="宋体" w:hAnsi="宋体" w:cs="宋体"/>
          <w:sz w:val="24"/>
          <w:szCs w:val="24"/>
          <w:u w:val="single"/>
        </w:rPr>
        <w:t xml:space="preserve">                                                                 </w:t>
      </w:r>
    </w:p>
    <w:p w14:paraId="51C7C898">
      <w:pPr>
        <w:spacing w:line="360" w:lineRule="auto"/>
        <w:rPr>
          <w:rFonts w:ascii="宋体" w:hAnsi="宋体" w:cs="宋体"/>
          <w:sz w:val="24"/>
          <w:szCs w:val="24"/>
        </w:rPr>
      </w:pPr>
      <w:r>
        <w:rPr>
          <w:rFonts w:hint="eastAsia" w:ascii="宋体" w:hAnsi="宋体" w:cs="宋体"/>
          <w:sz w:val="24"/>
          <w:szCs w:val="24"/>
        </w:rPr>
        <w:t>联系电话：</w:t>
      </w:r>
      <w:r>
        <w:rPr>
          <w:rFonts w:hint="eastAsia" w:ascii="宋体" w:hAnsi="宋体" w:cs="宋体"/>
          <w:sz w:val="24"/>
          <w:szCs w:val="24"/>
          <w:u w:val="single"/>
        </w:rPr>
        <w:t xml:space="preserve">                                                                </w:t>
      </w:r>
    </w:p>
    <w:p w14:paraId="42223CC1">
      <w:pPr>
        <w:spacing w:line="360" w:lineRule="auto"/>
        <w:rPr>
          <w:rFonts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邮编：</w:t>
      </w:r>
      <w:r>
        <w:rPr>
          <w:rFonts w:hint="eastAsia" w:ascii="宋体" w:hAnsi="宋体" w:cs="宋体"/>
          <w:sz w:val="24"/>
          <w:szCs w:val="24"/>
          <w:u w:val="single"/>
        </w:rPr>
        <w:t xml:space="preserve">                                     </w:t>
      </w:r>
    </w:p>
    <w:p w14:paraId="1B82B25B">
      <w:pPr>
        <w:spacing w:line="360" w:lineRule="auto"/>
        <w:rPr>
          <w:rFonts w:ascii="宋体" w:hAnsi="宋体" w:cs="宋体"/>
          <w:bCs/>
          <w:sz w:val="24"/>
          <w:szCs w:val="24"/>
        </w:rPr>
      </w:pPr>
      <w:r>
        <w:rPr>
          <w:rFonts w:hint="eastAsia" w:ascii="宋体" w:hAnsi="宋体" w:cs="宋体"/>
          <w:bCs/>
          <w:sz w:val="24"/>
          <w:szCs w:val="24"/>
        </w:rPr>
        <w:t>二、质疑项目基本情况</w:t>
      </w:r>
    </w:p>
    <w:p w14:paraId="73EC69D6">
      <w:pPr>
        <w:spacing w:line="360" w:lineRule="auto"/>
        <w:rPr>
          <w:rFonts w:ascii="宋体" w:hAnsi="宋体" w:cs="宋体"/>
          <w:sz w:val="24"/>
          <w:szCs w:val="24"/>
        </w:rPr>
      </w:pPr>
      <w:r>
        <w:rPr>
          <w:rFonts w:hint="eastAsia" w:ascii="宋体" w:hAnsi="宋体" w:cs="宋体"/>
          <w:sz w:val="24"/>
          <w:szCs w:val="24"/>
        </w:rPr>
        <w:t>质疑项目的名称：</w:t>
      </w:r>
      <w:r>
        <w:rPr>
          <w:rFonts w:hint="eastAsia" w:ascii="宋体" w:hAnsi="宋体" w:cs="宋体"/>
          <w:sz w:val="24"/>
          <w:szCs w:val="24"/>
          <w:u w:val="single"/>
        </w:rPr>
        <w:t xml:space="preserve">                                                          </w:t>
      </w:r>
    </w:p>
    <w:p w14:paraId="31087C72">
      <w:pPr>
        <w:spacing w:line="360" w:lineRule="auto"/>
        <w:rPr>
          <w:rFonts w:ascii="宋体" w:hAnsi="宋体" w:cs="宋体"/>
          <w:sz w:val="24"/>
          <w:szCs w:val="24"/>
        </w:rPr>
      </w:pPr>
      <w:r>
        <w:rPr>
          <w:rFonts w:hint="eastAsia" w:ascii="宋体" w:hAnsi="宋体" w:cs="宋体"/>
          <w:sz w:val="24"/>
          <w:szCs w:val="24"/>
        </w:rPr>
        <w:t>质疑项目的编号：</w:t>
      </w:r>
      <w:r>
        <w:rPr>
          <w:rFonts w:hint="eastAsia" w:ascii="宋体" w:hAnsi="宋体" w:cs="宋体"/>
          <w:sz w:val="24"/>
          <w:szCs w:val="24"/>
          <w:u w:val="single"/>
        </w:rPr>
        <w:t xml:space="preserve">                         </w:t>
      </w:r>
      <w:r>
        <w:rPr>
          <w:rFonts w:hint="eastAsia" w:ascii="宋体" w:hAnsi="宋体" w:cs="宋体"/>
          <w:sz w:val="24"/>
          <w:szCs w:val="24"/>
        </w:rPr>
        <w:t>包号：</w:t>
      </w:r>
      <w:r>
        <w:rPr>
          <w:rFonts w:hint="eastAsia" w:ascii="宋体" w:hAnsi="宋体" w:cs="宋体"/>
          <w:sz w:val="24"/>
          <w:szCs w:val="24"/>
          <w:u w:val="single"/>
        </w:rPr>
        <w:t xml:space="preserve">                           </w:t>
      </w:r>
    </w:p>
    <w:p w14:paraId="68FBD773">
      <w:pPr>
        <w:spacing w:line="360" w:lineRule="auto"/>
        <w:rPr>
          <w:rFonts w:ascii="宋体" w:hAnsi="宋体" w:cs="宋体"/>
          <w:sz w:val="24"/>
          <w:szCs w:val="24"/>
          <w:u w:val="single"/>
        </w:rPr>
      </w:pPr>
      <w:r>
        <w:rPr>
          <w:rFonts w:hint="eastAsia" w:ascii="宋体" w:hAnsi="宋体" w:cs="宋体"/>
          <w:sz w:val="24"/>
          <w:szCs w:val="24"/>
        </w:rPr>
        <w:t>采购人名称：</w:t>
      </w:r>
      <w:r>
        <w:rPr>
          <w:rFonts w:hint="eastAsia" w:ascii="宋体" w:hAnsi="宋体" w:cs="宋体"/>
          <w:sz w:val="24"/>
          <w:szCs w:val="24"/>
          <w:u w:val="single"/>
        </w:rPr>
        <w:t xml:space="preserve">                                                              </w:t>
      </w:r>
    </w:p>
    <w:p w14:paraId="331C8E44">
      <w:pPr>
        <w:spacing w:line="360" w:lineRule="auto"/>
        <w:rPr>
          <w:rFonts w:ascii="宋体" w:hAnsi="宋体" w:cs="宋体"/>
          <w:sz w:val="24"/>
          <w:szCs w:val="24"/>
        </w:rPr>
      </w:pPr>
      <w:r>
        <w:rPr>
          <w:rFonts w:hint="eastAsia" w:ascii="宋体" w:hAnsi="宋体" w:cs="宋体"/>
          <w:sz w:val="24"/>
          <w:szCs w:val="24"/>
        </w:rPr>
        <w:t>采购文件获取日期：</w:t>
      </w:r>
      <w:r>
        <w:rPr>
          <w:rFonts w:hint="eastAsia" w:ascii="宋体" w:hAnsi="宋体" w:cs="宋体"/>
          <w:sz w:val="24"/>
          <w:szCs w:val="24"/>
          <w:u w:val="single"/>
        </w:rPr>
        <w:t xml:space="preserve">                                                        </w:t>
      </w:r>
    </w:p>
    <w:p w14:paraId="7C075196">
      <w:pPr>
        <w:spacing w:line="360" w:lineRule="auto"/>
        <w:rPr>
          <w:rFonts w:ascii="宋体" w:hAnsi="宋体" w:cs="宋体"/>
          <w:bCs/>
          <w:sz w:val="24"/>
          <w:szCs w:val="24"/>
        </w:rPr>
      </w:pPr>
      <w:r>
        <w:rPr>
          <w:rFonts w:hint="eastAsia" w:ascii="宋体" w:hAnsi="宋体" w:cs="宋体"/>
          <w:bCs/>
          <w:sz w:val="24"/>
          <w:szCs w:val="24"/>
        </w:rPr>
        <w:t>三、质疑事项具体内容</w:t>
      </w:r>
    </w:p>
    <w:p w14:paraId="1E91E468">
      <w:pPr>
        <w:spacing w:line="360" w:lineRule="auto"/>
        <w:rPr>
          <w:rFonts w:ascii="宋体" w:hAnsi="宋体" w:cs="宋体"/>
          <w:sz w:val="24"/>
          <w:szCs w:val="24"/>
          <w:u w:val="single"/>
        </w:rPr>
      </w:pPr>
      <w:r>
        <w:rPr>
          <w:rFonts w:hint="eastAsia" w:ascii="宋体" w:hAnsi="宋体" w:cs="宋体"/>
          <w:sz w:val="24"/>
          <w:szCs w:val="24"/>
        </w:rPr>
        <w:t>质疑事项1：</w:t>
      </w:r>
      <w:r>
        <w:rPr>
          <w:rFonts w:hint="eastAsia" w:ascii="宋体" w:hAnsi="宋体" w:cs="宋体"/>
          <w:sz w:val="24"/>
          <w:szCs w:val="24"/>
          <w:u w:val="single"/>
        </w:rPr>
        <w:t xml:space="preserve">                                                              </w:t>
      </w:r>
    </w:p>
    <w:p w14:paraId="433BE3DC">
      <w:pPr>
        <w:spacing w:line="360" w:lineRule="auto"/>
        <w:rPr>
          <w:rFonts w:ascii="宋体" w:hAnsi="宋体" w:cs="宋体"/>
          <w:sz w:val="24"/>
          <w:szCs w:val="24"/>
          <w:u w:val="single"/>
        </w:rPr>
      </w:pPr>
      <w:r>
        <w:rPr>
          <w:rFonts w:hint="eastAsia" w:ascii="宋体" w:hAnsi="宋体" w:cs="宋体"/>
          <w:sz w:val="24"/>
          <w:szCs w:val="24"/>
        </w:rPr>
        <w:t>事实依据：</w:t>
      </w:r>
      <w:r>
        <w:rPr>
          <w:rFonts w:hint="eastAsia" w:ascii="宋体" w:hAnsi="宋体" w:cs="宋体"/>
          <w:sz w:val="24"/>
          <w:szCs w:val="24"/>
          <w:u w:val="single"/>
        </w:rPr>
        <w:t xml:space="preserve">                                                                </w:t>
      </w:r>
    </w:p>
    <w:p w14:paraId="78F8B01C">
      <w:pPr>
        <w:spacing w:line="360" w:lineRule="auto"/>
        <w:rPr>
          <w:rFonts w:ascii="宋体" w:hAnsi="宋体" w:cs="宋体"/>
          <w:sz w:val="24"/>
          <w:szCs w:val="24"/>
        </w:rPr>
      </w:pPr>
      <w:r>
        <w:rPr>
          <w:rFonts w:hint="eastAsia" w:ascii="宋体" w:hAnsi="宋体" w:cs="宋体"/>
          <w:sz w:val="24"/>
          <w:szCs w:val="24"/>
          <w:u w:val="single"/>
        </w:rPr>
        <w:t xml:space="preserve">                                                                           </w:t>
      </w:r>
    </w:p>
    <w:p w14:paraId="1680BB0C">
      <w:pPr>
        <w:spacing w:line="360" w:lineRule="auto"/>
        <w:rPr>
          <w:rFonts w:ascii="宋体" w:hAnsi="宋体" w:cs="宋体"/>
          <w:sz w:val="24"/>
          <w:szCs w:val="24"/>
          <w:u w:val="single"/>
        </w:rPr>
      </w:pPr>
      <w:r>
        <w:rPr>
          <w:rFonts w:hint="eastAsia" w:ascii="宋体" w:hAnsi="宋体" w:cs="宋体"/>
          <w:sz w:val="24"/>
          <w:szCs w:val="24"/>
        </w:rPr>
        <w:t>法律依据：</w:t>
      </w:r>
      <w:r>
        <w:rPr>
          <w:rFonts w:hint="eastAsia" w:ascii="宋体" w:hAnsi="宋体" w:cs="宋体"/>
          <w:sz w:val="24"/>
          <w:szCs w:val="24"/>
          <w:u w:val="single"/>
        </w:rPr>
        <w:t xml:space="preserve">                                                                 </w:t>
      </w:r>
    </w:p>
    <w:p w14:paraId="0FE7D81C">
      <w:pPr>
        <w:spacing w:line="360" w:lineRule="auto"/>
        <w:rPr>
          <w:rFonts w:ascii="宋体" w:hAnsi="宋体" w:cs="宋体"/>
          <w:sz w:val="24"/>
          <w:szCs w:val="24"/>
          <w:u w:val="single"/>
        </w:rPr>
      </w:pPr>
      <w:r>
        <w:rPr>
          <w:rFonts w:hint="eastAsia" w:ascii="宋体" w:hAnsi="宋体" w:cs="宋体"/>
          <w:sz w:val="24"/>
          <w:szCs w:val="24"/>
          <w:u w:val="single"/>
        </w:rPr>
        <w:t xml:space="preserve">                                                                           </w:t>
      </w:r>
    </w:p>
    <w:p w14:paraId="09680AF4">
      <w:pPr>
        <w:spacing w:line="360" w:lineRule="auto"/>
        <w:rPr>
          <w:rFonts w:ascii="宋体" w:hAnsi="宋体" w:cs="宋体"/>
          <w:sz w:val="24"/>
          <w:szCs w:val="24"/>
          <w:u w:val="single"/>
        </w:rPr>
      </w:pPr>
      <w:r>
        <w:rPr>
          <w:rFonts w:hint="eastAsia" w:ascii="宋体" w:hAnsi="宋体" w:cs="宋体"/>
          <w:sz w:val="24"/>
          <w:szCs w:val="24"/>
        </w:rPr>
        <w:t>质疑事项2</w:t>
      </w:r>
    </w:p>
    <w:p w14:paraId="0CA87A2F">
      <w:pPr>
        <w:spacing w:line="360" w:lineRule="auto"/>
        <w:rPr>
          <w:rFonts w:ascii="宋体" w:hAnsi="宋体" w:cs="宋体"/>
          <w:sz w:val="24"/>
          <w:szCs w:val="24"/>
        </w:rPr>
      </w:pPr>
      <w:r>
        <w:rPr>
          <w:rFonts w:hint="eastAsia" w:ascii="宋体" w:hAnsi="宋体" w:cs="宋体"/>
          <w:sz w:val="24"/>
          <w:szCs w:val="24"/>
        </w:rPr>
        <w:t>……</w:t>
      </w:r>
    </w:p>
    <w:p w14:paraId="341EB7BB">
      <w:pPr>
        <w:spacing w:line="360" w:lineRule="auto"/>
        <w:rPr>
          <w:rFonts w:ascii="宋体" w:hAnsi="宋体" w:cs="宋体"/>
          <w:bCs/>
          <w:sz w:val="24"/>
          <w:szCs w:val="24"/>
        </w:rPr>
      </w:pPr>
      <w:r>
        <w:rPr>
          <w:rFonts w:hint="eastAsia" w:ascii="宋体" w:hAnsi="宋体" w:cs="宋体"/>
          <w:bCs/>
          <w:sz w:val="24"/>
          <w:szCs w:val="24"/>
        </w:rPr>
        <w:t>四、与质疑事项相关的质疑请求</w:t>
      </w:r>
    </w:p>
    <w:p w14:paraId="1B532D16">
      <w:pPr>
        <w:spacing w:line="360" w:lineRule="auto"/>
        <w:rPr>
          <w:rFonts w:ascii="宋体" w:hAnsi="宋体" w:cs="宋体"/>
          <w:sz w:val="24"/>
          <w:szCs w:val="24"/>
          <w:u w:val="single"/>
        </w:rPr>
      </w:pPr>
      <w:r>
        <w:rPr>
          <w:rFonts w:hint="eastAsia" w:ascii="宋体" w:hAnsi="宋体" w:cs="宋体"/>
          <w:sz w:val="24"/>
          <w:szCs w:val="24"/>
        </w:rPr>
        <w:t>请求：</w:t>
      </w:r>
      <w:r>
        <w:rPr>
          <w:rFonts w:hint="eastAsia" w:ascii="宋体" w:hAnsi="宋体" w:cs="宋体"/>
          <w:sz w:val="24"/>
          <w:szCs w:val="24"/>
          <w:u w:val="single"/>
        </w:rPr>
        <w:t xml:space="preserve">                                                                     </w:t>
      </w:r>
    </w:p>
    <w:p w14:paraId="6C56DE5F">
      <w:pPr>
        <w:rPr>
          <w:rFonts w:ascii="宋体" w:hAnsi="宋体" w:cs="宋体"/>
          <w:sz w:val="24"/>
          <w:szCs w:val="24"/>
        </w:rPr>
      </w:pPr>
      <w:r>
        <w:rPr>
          <w:rFonts w:hint="eastAsia" w:ascii="宋体" w:hAnsi="宋体" w:cs="宋体"/>
          <w:sz w:val="24"/>
          <w:szCs w:val="24"/>
        </w:rPr>
        <w:t xml:space="preserve">签字(签章)：                   公章：                      </w:t>
      </w:r>
    </w:p>
    <w:p w14:paraId="520069A2">
      <w:pPr>
        <w:rPr>
          <w:rFonts w:ascii="宋体" w:hAnsi="宋体" w:cs="宋体"/>
          <w:sz w:val="24"/>
          <w:szCs w:val="24"/>
        </w:rPr>
      </w:pPr>
      <w:r>
        <w:rPr>
          <w:rFonts w:hint="eastAsia" w:ascii="宋体" w:hAnsi="宋体" w:cs="宋体"/>
          <w:sz w:val="24"/>
          <w:szCs w:val="24"/>
        </w:rPr>
        <w:t xml:space="preserve">日期：    </w:t>
      </w:r>
    </w:p>
    <w:p w14:paraId="0389E4E3">
      <w:pPr>
        <w:spacing w:line="400" w:lineRule="exact"/>
        <w:rPr>
          <w:rFonts w:ascii="宋体" w:hAnsi="宋体" w:cs="宋体"/>
          <w:b/>
          <w:sz w:val="24"/>
          <w:szCs w:val="24"/>
        </w:rPr>
      </w:pPr>
      <w:r>
        <w:rPr>
          <w:rFonts w:hint="eastAsia" w:ascii="宋体" w:hAnsi="宋体" w:cs="宋体"/>
          <w:b/>
          <w:sz w:val="24"/>
          <w:szCs w:val="24"/>
        </w:rPr>
        <w:t>质疑函制作说明：</w:t>
      </w:r>
    </w:p>
    <w:p w14:paraId="5FAF0041">
      <w:pPr>
        <w:widowControl/>
        <w:spacing w:line="400" w:lineRule="exact"/>
        <w:ind w:firstLine="480"/>
        <w:jc w:val="left"/>
        <w:rPr>
          <w:rFonts w:ascii="宋体" w:hAnsi="宋体" w:cs="宋体"/>
          <w:sz w:val="24"/>
          <w:szCs w:val="24"/>
        </w:rPr>
      </w:pPr>
      <w:r>
        <w:rPr>
          <w:rFonts w:hint="eastAsia" w:ascii="宋体" w:hAnsi="宋体" w:cs="宋体"/>
          <w:sz w:val="24"/>
          <w:szCs w:val="24"/>
        </w:rPr>
        <w:t>1.供应商提出质疑时，应提交质疑函和必要的证明材料。</w:t>
      </w:r>
    </w:p>
    <w:p w14:paraId="775E8C6B">
      <w:pPr>
        <w:widowControl/>
        <w:spacing w:line="400" w:lineRule="exact"/>
        <w:ind w:firstLine="480"/>
        <w:jc w:val="left"/>
        <w:rPr>
          <w:rFonts w:ascii="宋体" w:hAnsi="宋体" w:cs="宋体"/>
          <w:sz w:val="24"/>
          <w:szCs w:val="24"/>
        </w:rPr>
      </w:pPr>
      <w:r>
        <w:rPr>
          <w:rFonts w:hint="eastAsia" w:ascii="宋体" w:hAnsi="宋体" w:cs="宋体"/>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22FEB21">
      <w:pPr>
        <w:widowControl/>
        <w:spacing w:line="400" w:lineRule="exact"/>
        <w:ind w:firstLine="480"/>
        <w:jc w:val="left"/>
        <w:rPr>
          <w:rFonts w:ascii="宋体" w:hAnsi="宋体" w:cs="宋体"/>
          <w:sz w:val="24"/>
          <w:szCs w:val="24"/>
        </w:rPr>
      </w:pPr>
      <w:r>
        <w:rPr>
          <w:rFonts w:hint="eastAsia" w:ascii="宋体" w:hAnsi="宋体" w:cs="宋体"/>
          <w:sz w:val="24"/>
          <w:szCs w:val="24"/>
        </w:rPr>
        <w:t>3.质疑供应商若对项目的某一分包进行质疑，质疑函中应列明具体分包号。</w:t>
      </w:r>
    </w:p>
    <w:p w14:paraId="04C413F9">
      <w:pPr>
        <w:widowControl/>
        <w:spacing w:line="400" w:lineRule="exact"/>
        <w:ind w:firstLine="480"/>
        <w:jc w:val="left"/>
        <w:rPr>
          <w:rFonts w:ascii="宋体" w:hAnsi="宋体" w:cs="宋体"/>
          <w:sz w:val="24"/>
          <w:szCs w:val="24"/>
        </w:rPr>
      </w:pPr>
      <w:r>
        <w:rPr>
          <w:rFonts w:hint="eastAsia" w:ascii="宋体" w:hAnsi="宋体" w:cs="宋体"/>
          <w:sz w:val="24"/>
          <w:szCs w:val="24"/>
        </w:rPr>
        <w:t>4.质疑函的质疑事项应具体、明确，并有必要的事实依据和法律依据。</w:t>
      </w:r>
    </w:p>
    <w:p w14:paraId="6A1234EF">
      <w:pPr>
        <w:widowControl/>
        <w:spacing w:line="400" w:lineRule="exact"/>
        <w:ind w:firstLine="480"/>
        <w:jc w:val="left"/>
        <w:rPr>
          <w:rFonts w:ascii="宋体" w:hAnsi="宋体" w:cs="宋体"/>
          <w:sz w:val="24"/>
          <w:szCs w:val="24"/>
        </w:rPr>
      </w:pPr>
      <w:r>
        <w:rPr>
          <w:rFonts w:hint="eastAsia" w:ascii="宋体" w:hAnsi="宋体" w:cs="宋体"/>
          <w:sz w:val="24"/>
          <w:szCs w:val="24"/>
        </w:rPr>
        <w:t>5.质疑函的质疑请求应与质疑事项相关。</w:t>
      </w:r>
    </w:p>
    <w:p w14:paraId="12C028B3">
      <w:pPr>
        <w:widowControl/>
        <w:spacing w:line="400" w:lineRule="exact"/>
        <w:ind w:firstLine="480"/>
        <w:jc w:val="left"/>
        <w:rPr>
          <w:rFonts w:ascii="宋体" w:hAnsi="宋体" w:cs="宋体"/>
          <w:sz w:val="24"/>
          <w:szCs w:val="24"/>
        </w:rPr>
      </w:pPr>
      <w:r>
        <w:rPr>
          <w:rFonts w:hint="eastAsia" w:ascii="宋体" w:hAnsi="宋体" w:cs="宋体"/>
          <w:sz w:val="24"/>
          <w:szCs w:val="24"/>
        </w:rPr>
        <w:t>6.质疑供应商为自然人的，质疑函应由本人签字；质疑供应商为法人或者其他组织的，质疑函应由法定代表人、主要负责人，或者其授权代表签字或者盖章，并加盖公章。</w:t>
      </w:r>
    </w:p>
    <w:p w14:paraId="6161FF27">
      <w:pPr>
        <w:ind w:firstLine="420"/>
        <w:rPr>
          <w:rFonts w:ascii="宋体" w:hAnsi="宋体" w:cs="宋体"/>
          <w:sz w:val="24"/>
          <w:szCs w:val="24"/>
        </w:rPr>
      </w:pPr>
    </w:p>
    <w:p w14:paraId="7FF17E48">
      <w:pPr>
        <w:ind w:firstLine="420"/>
        <w:rPr>
          <w:rFonts w:ascii="宋体" w:hAnsi="宋体" w:cs="宋体"/>
          <w:sz w:val="24"/>
          <w:szCs w:val="24"/>
        </w:rPr>
      </w:pPr>
    </w:p>
    <w:p w14:paraId="2051ABF5">
      <w:pPr>
        <w:ind w:firstLine="420"/>
        <w:rPr>
          <w:rFonts w:ascii="Times New Roman" w:hAnsi="Times New Roman"/>
          <w:sz w:val="24"/>
          <w:szCs w:val="24"/>
        </w:rPr>
      </w:pPr>
    </w:p>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7F237">
    <w:pPr>
      <w:pStyle w:val="29"/>
      <w:jc w:val="center"/>
      <w:rPr>
        <w:rFonts w:ascii="仿宋_GB2312" w:hAnsi="宋体" w:eastAsia="仿宋_GB2312"/>
        <w:sz w:val="21"/>
        <w:szCs w:val="21"/>
      </w:rPr>
    </w:pPr>
    <w:r>
      <w:rPr>
        <w:rFonts w:ascii="仿宋_GB2312" w:hAnsi="宋体" w:eastAsia="仿宋_GB2312"/>
        <w:sz w:val="21"/>
        <w:szCs w:val="21"/>
      </w:rPr>
      <w:fldChar w:fldCharType="begin"/>
    </w:r>
    <w:r>
      <w:rPr>
        <w:rFonts w:ascii="仿宋_GB2312" w:hAnsi="宋体" w:eastAsia="仿宋_GB2312"/>
        <w:sz w:val="21"/>
        <w:szCs w:val="21"/>
      </w:rPr>
      <w:instrText xml:space="preserve"> PAGE   \* MERGEFORMAT </w:instrText>
    </w:r>
    <w:r>
      <w:rPr>
        <w:rFonts w:ascii="仿宋_GB2312" w:hAnsi="宋体" w:eastAsia="仿宋_GB2312"/>
        <w:sz w:val="21"/>
        <w:szCs w:val="21"/>
      </w:rPr>
      <w:fldChar w:fldCharType="separate"/>
    </w:r>
    <w:r>
      <w:rPr>
        <w:rFonts w:ascii="仿宋_GB2312" w:hAnsi="宋体" w:eastAsia="仿宋_GB2312"/>
        <w:sz w:val="21"/>
        <w:szCs w:val="21"/>
        <w:lang w:val="zh-CN" w:eastAsia="en-US"/>
      </w:rPr>
      <w:t>36</w:t>
    </w:r>
    <w:r>
      <w:rPr>
        <w:rFonts w:ascii="仿宋_GB2312" w:hAnsi="宋体" w:eastAsia="仿宋_GB2312"/>
        <w:sz w:val="21"/>
        <w:szCs w:val="2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1F2D9">
    <w:pPr>
      <w:pStyle w:val="29"/>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14:paraId="7264D2A5">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2A5CF">
    <w:pPr>
      <w:pStyle w:val="3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6"/>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5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4">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27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B403A8"/>
    <w:rsid w:val="157A509A"/>
    <w:rsid w:val="26933FA4"/>
    <w:rsid w:val="2D9D7593"/>
    <w:rsid w:val="46F74410"/>
    <w:rsid w:val="614E5CA5"/>
    <w:rsid w:val="735A15F5"/>
    <w:rsid w:val="7B587C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qFormat="1" w:uiPriority="99"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229"/>
    <w:qFormat/>
    <w:uiPriority w:val="0"/>
    <w:pPr>
      <w:keepNext/>
      <w:jc w:val="center"/>
      <w:outlineLvl w:val="0"/>
    </w:pPr>
    <w:rPr>
      <w:rFonts w:ascii="楷体_GB2312" w:hAnsi="Times New Roman" w:eastAsia="楷体_GB2312"/>
      <w:sz w:val="28"/>
      <w:szCs w:val="28"/>
    </w:rPr>
  </w:style>
  <w:style w:type="paragraph" w:styleId="3">
    <w:name w:val="heading 2"/>
    <w:basedOn w:val="1"/>
    <w:next w:val="4"/>
    <w:link w:val="230"/>
    <w:qFormat/>
    <w:uiPriority w:val="0"/>
    <w:pPr>
      <w:keepNext/>
      <w:keepLines/>
      <w:spacing w:before="260" w:after="260" w:line="416" w:lineRule="auto"/>
      <w:jc w:val="center"/>
      <w:outlineLvl w:val="1"/>
    </w:pPr>
    <w:rPr>
      <w:rFonts w:ascii="Arial" w:hAnsi="Arial" w:eastAsia="幼圆"/>
      <w:b/>
      <w:bCs/>
      <w:sz w:val="44"/>
      <w:szCs w:val="44"/>
    </w:rPr>
  </w:style>
  <w:style w:type="paragraph" w:styleId="5">
    <w:name w:val="heading 3"/>
    <w:basedOn w:val="1"/>
    <w:next w:val="4"/>
    <w:link w:val="232"/>
    <w:qFormat/>
    <w:uiPriority w:val="0"/>
    <w:pPr>
      <w:keepNext/>
      <w:keepLines/>
      <w:spacing w:before="260" w:after="260" w:line="416" w:lineRule="auto"/>
      <w:outlineLvl w:val="2"/>
    </w:pPr>
    <w:rPr>
      <w:rFonts w:ascii="Times New Roman" w:hAnsi="Times New Roman"/>
      <w:b/>
      <w:bCs/>
      <w:sz w:val="32"/>
      <w:szCs w:val="32"/>
    </w:rPr>
  </w:style>
  <w:style w:type="paragraph" w:styleId="6">
    <w:name w:val="heading 4"/>
    <w:basedOn w:val="1"/>
    <w:next w:val="4"/>
    <w:link w:val="233"/>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link w:val="234"/>
    <w:qFormat/>
    <w:uiPriority w:val="0"/>
    <w:pPr>
      <w:keepNext/>
      <w:outlineLvl w:val="4"/>
    </w:pPr>
    <w:rPr>
      <w:rFonts w:ascii="宋体" w:hAnsi="Times New Roman"/>
      <w:color w:val="000000"/>
      <w:sz w:val="28"/>
      <w:szCs w:val="28"/>
    </w:rPr>
  </w:style>
  <w:style w:type="paragraph" w:styleId="8">
    <w:name w:val="heading 6"/>
    <w:basedOn w:val="1"/>
    <w:next w:val="1"/>
    <w:link w:val="23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36"/>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styleId="10">
    <w:name w:val="heading 8"/>
    <w:basedOn w:val="1"/>
    <w:next w:val="1"/>
    <w:link w:val="23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38"/>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31"/>
    <w:qFormat/>
    <w:uiPriority w:val="0"/>
    <w:pPr>
      <w:ind w:firstLine="420"/>
    </w:pPr>
    <w:rPr>
      <w:sz w:val="20"/>
      <w:szCs w:val="21"/>
    </w:rPr>
  </w:style>
  <w:style w:type="paragraph" w:styleId="12">
    <w:name w:val="List 3"/>
    <w:basedOn w:val="1"/>
    <w:qFormat/>
    <w:uiPriority w:val="0"/>
    <w:pPr>
      <w:ind w:left="100" w:hanging="200"/>
    </w:pPr>
    <w:rPr>
      <w:rFonts w:ascii="Times New Roman" w:hAnsi="Times New Roman"/>
      <w:szCs w:val="21"/>
    </w:rPr>
  </w:style>
  <w:style w:type="paragraph" w:styleId="13">
    <w:name w:val="toc 7"/>
    <w:basedOn w:val="1"/>
    <w:next w:val="1"/>
    <w:semiHidden/>
    <w:qFormat/>
    <w:uiPriority w:val="0"/>
    <w:pPr>
      <w:ind w:left="1260"/>
      <w:jc w:val="left"/>
    </w:pPr>
    <w:rPr>
      <w:rFonts w:cs="Calibri"/>
      <w:sz w:val="18"/>
      <w:szCs w:val="18"/>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39"/>
    <w:semiHidden/>
    <w:qFormat/>
    <w:uiPriority w:val="0"/>
    <w:pPr>
      <w:shd w:val="clear" w:color="auto" w:fill="000080"/>
    </w:pPr>
    <w:rPr>
      <w:rFonts w:ascii="Times New Roman" w:hAnsi="Times New Roman"/>
      <w:sz w:val="20"/>
      <w:szCs w:val="21"/>
    </w:rPr>
  </w:style>
  <w:style w:type="paragraph" w:styleId="16">
    <w:name w:val="annotation text"/>
    <w:basedOn w:val="1"/>
    <w:link w:val="240"/>
    <w:unhideWhenUsed/>
    <w:qFormat/>
    <w:uiPriority w:val="99"/>
    <w:pPr>
      <w:jc w:val="left"/>
    </w:pPr>
  </w:style>
  <w:style w:type="paragraph" w:styleId="17">
    <w:name w:val="Body Text 3"/>
    <w:basedOn w:val="1"/>
    <w:link w:val="241"/>
    <w:qFormat/>
    <w:uiPriority w:val="0"/>
    <w:rPr>
      <w:rFonts w:ascii="仿宋_GB2312" w:hAnsi="Arial" w:eastAsia="仿宋_GB2312"/>
      <w:sz w:val="32"/>
      <w:szCs w:val="32"/>
    </w:rPr>
  </w:style>
  <w:style w:type="paragraph" w:styleId="18">
    <w:name w:val="Body Text"/>
    <w:basedOn w:val="1"/>
    <w:link w:val="242"/>
    <w:qFormat/>
    <w:uiPriority w:val="0"/>
    <w:rPr>
      <w:rFonts w:ascii="楷体_GB2312" w:hAnsi="Arial" w:eastAsia="楷体_GB2312"/>
      <w:sz w:val="28"/>
      <w:szCs w:val="28"/>
    </w:rPr>
  </w:style>
  <w:style w:type="paragraph" w:styleId="19">
    <w:name w:val="Body Text Indent"/>
    <w:basedOn w:val="1"/>
    <w:link w:val="243"/>
    <w:unhideWhenUsed/>
    <w:qFormat/>
    <w:uiPriority w:val="99"/>
    <w:pPr>
      <w:spacing w:after="120"/>
      <w:ind w:left="420"/>
    </w:pPr>
  </w:style>
  <w:style w:type="paragraph" w:styleId="20">
    <w:name w:val="List 2"/>
    <w:basedOn w:val="1"/>
    <w:qFormat/>
    <w:uiPriority w:val="0"/>
    <w:pPr>
      <w:ind w:left="100" w:hanging="200"/>
    </w:pPr>
    <w:rPr>
      <w:rFonts w:ascii="Times New Roman" w:hAnsi="Times New Roman"/>
      <w:szCs w:val="21"/>
    </w:rPr>
  </w:style>
  <w:style w:type="paragraph" w:styleId="21">
    <w:name w:val="toc 5"/>
    <w:basedOn w:val="1"/>
    <w:next w:val="1"/>
    <w:semiHidden/>
    <w:qFormat/>
    <w:uiPriority w:val="0"/>
    <w:pPr>
      <w:ind w:left="840"/>
      <w:jc w:val="left"/>
    </w:pPr>
    <w:rPr>
      <w:rFonts w:cs="Calibri"/>
      <w:sz w:val="18"/>
      <w:szCs w:val="18"/>
    </w:rPr>
  </w:style>
  <w:style w:type="paragraph" w:styleId="22">
    <w:name w:val="toc 3"/>
    <w:basedOn w:val="1"/>
    <w:next w:val="1"/>
    <w:qFormat/>
    <w:uiPriority w:val="39"/>
    <w:pPr>
      <w:ind w:left="420"/>
      <w:jc w:val="left"/>
    </w:pPr>
    <w:rPr>
      <w:rFonts w:cs="Calibri"/>
      <w:i/>
      <w:iCs/>
      <w:sz w:val="20"/>
      <w:szCs w:val="20"/>
    </w:rPr>
  </w:style>
  <w:style w:type="paragraph" w:styleId="23">
    <w:name w:val="Plain Text"/>
    <w:basedOn w:val="1"/>
    <w:link w:val="244"/>
    <w:qFormat/>
    <w:uiPriority w:val="0"/>
    <w:rPr>
      <w:rFonts w:ascii="宋体" w:hAnsi="Courier New"/>
      <w:sz w:val="20"/>
      <w:szCs w:val="21"/>
    </w:rPr>
  </w:style>
  <w:style w:type="paragraph" w:styleId="24">
    <w:name w:val="toc 8"/>
    <w:basedOn w:val="1"/>
    <w:next w:val="1"/>
    <w:semiHidden/>
    <w:qFormat/>
    <w:uiPriority w:val="0"/>
    <w:pPr>
      <w:ind w:left="1470"/>
      <w:jc w:val="left"/>
    </w:pPr>
    <w:rPr>
      <w:rFonts w:cs="Calibri"/>
      <w:sz w:val="18"/>
      <w:szCs w:val="18"/>
    </w:rPr>
  </w:style>
  <w:style w:type="paragraph" w:styleId="25">
    <w:name w:val="Date"/>
    <w:basedOn w:val="1"/>
    <w:next w:val="1"/>
    <w:link w:val="245"/>
    <w:qFormat/>
    <w:uiPriority w:val="0"/>
    <w:rPr>
      <w:rFonts w:ascii="Times New Roman" w:hAnsi="Times New Roman"/>
      <w:sz w:val="24"/>
      <w:szCs w:val="24"/>
    </w:rPr>
  </w:style>
  <w:style w:type="paragraph" w:styleId="26">
    <w:name w:val="Body Text Indent 2"/>
    <w:basedOn w:val="1"/>
    <w:link w:val="246"/>
    <w:qFormat/>
    <w:uiPriority w:val="0"/>
    <w:pPr>
      <w:ind w:left="630" w:firstLine="645"/>
    </w:pPr>
    <w:rPr>
      <w:rFonts w:ascii="Arial" w:hAnsi="Arial" w:eastAsia="仿宋_GB2312"/>
      <w:sz w:val="32"/>
      <w:szCs w:val="32"/>
    </w:rPr>
  </w:style>
  <w:style w:type="paragraph" w:styleId="27">
    <w:name w:val="endnote text"/>
    <w:basedOn w:val="1"/>
    <w:link w:val="227"/>
    <w:semiHidden/>
    <w:unhideWhenUsed/>
    <w:qFormat/>
    <w:uiPriority w:val="99"/>
    <w:rPr>
      <w:sz w:val="20"/>
      <w:szCs w:val="20"/>
    </w:rPr>
  </w:style>
  <w:style w:type="paragraph" w:styleId="28">
    <w:name w:val="Balloon Text"/>
    <w:basedOn w:val="1"/>
    <w:link w:val="247"/>
    <w:semiHidden/>
    <w:qFormat/>
    <w:uiPriority w:val="0"/>
    <w:rPr>
      <w:rFonts w:ascii="Times New Roman" w:hAnsi="Times New Roman"/>
      <w:sz w:val="18"/>
      <w:szCs w:val="18"/>
    </w:rPr>
  </w:style>
  <w:style w:type="paragraph" w:styleId="29">
    <w:name w:val="footer"/>
    <w:basedOn w:val="1"/>
    <w:link w:val="248"/>
    <w:qFormat/>
    <w:uiPriority w:val="0"/>
    <w:pPr>
      <w:tabs>
        <w:tab w:val="center" w:pos="4153"/>
        <w:tab w:val="right" w:pos="8306"/>
      </w:tabs>
      <w:jc w:val="left"/>
    </w:pPr>
    <w:rPr>
      <w:rFonts w:ascii="Times New Roman" w:hAnsi="Times New Roman"/>
      <w:sz w:val="18"/>
      <w:szCs w:val="18"/>
    </w:rPr>
  </w:style>
  <w:style w:type="paragraph" w:styleId="30">
    <w:name w:val="header"/>
    <w:basedOn w:val="1"/>
    <w:link w:val="249"/>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styleId="31">
    <w:name w:val="toc 1"/>
    <w:basedOn w:val="1"/>
    <w:next w:val="1"/>
    <w:qFormat/>
    <w:uiPriority w:val="39"/>
    <w:pPr>
      <w:spacing w:before="120" w:after="120"/>
      <w:jc w:val="left"/>
    </w:pPr>
    <w:rPr>
      <w:rFonts w:cs="Calibri"/>
      <w:b/>
      <w:bCs/>
      <w:caps/>
      <w:sz w:val="20"/>
      <w:szCs w:val="20"/>
    </w:rPr>
  </w:style>
  <w:style w:type="paragraph" w:styleId="32">
    <w:name w:val="toc 4"/>
    <w:basedOn w:val="1"/>
    <w:next w:val="1"/>
    <w:semiHidden/>
    <w:qFormat/>
    <w:uiPriority w:val="0"/>
    <w:pPr>
      <w:ind w:left="630"/>
      <w:jc w:val="left"/>
    </w:pPr>
    <w:rPr>
      <w:rFonts w:cs="Calibri"/>
      <w:sz w:val="18"/>
      <w:szCs w:val="18"/>
    </w:rPr>
  </w:style>
  <w:style w:type="paragraph" w:styleId="33">
    <w:name w:val="Subtitle"/>
    <w:basedOn w:val="1"/>
    <w:next w:val="1"/>
    <w:link w:val="90"/>
    <w:qFormat/>
    <w:uiPriority w:val="11"/>
    <w:pPr>
      <w:spacing w:before="200" w:after="200"/>
    </w:pPr>
    <w:rPr>
      <w:sz w:val="24"/>
      <w:szCs w:val="24"/>
    </w:rPr>
  </w:style>
  <w:style w:type="paragraph" w:styleId="34">
    <w:name w:val="List"/>
    <w:basedOn w:val="1"/>
    <w:qFormat/>
    <w:uiPriority w:val="0"/>
    <w:pPr>
      <w:ind w:left="200" w:hanging="200"/>
    </w:pPr>
    <w:rPr>
      <w:rFonts w:ascii="Times New Roman" w:hAnsi="Times New Roman"/>
      <w:szCs w:val="21"/>
    </w:rPr>
  </w:style>
  <w:style w:type="paragraph" w:styleId="35">
    <w:name w:val="footnote text"/>
    <w:basedOn w:val="1"/>
    <w:link w:val="226"/>
    <w:semiHidden/>
    <w:unhideWhenUsed/>
    <w:qFormat/>
    <w:uiPriority w:val="99"/>
    <w:pPr>
      <w:spacing w:after="40"/>
    </w:pPr>
    <w:rPr>
      <w:sz w:val="18"/>
      <w:szCs w:val="20"/>
    </w:rPr>
  </w:style>
  <w:style w:type="paragraph" w:styleId="36">
    <w:name w:val="toc 6"/>
    <w:basedOn w:val="1"/>
    <w:next w:val="1"/>
    <w:semiHidden/>
    <w:qFormat/>
    <w:uiPriority w:val="0"/>
    <w:pPr>
      <w:ind w:left="1050"/>
      <w:jc w:val="left"/>
    </w:pPr>
    <w:rPr>
      <w:rFonts w:cs="Calibri"/>
      <w:sz w:val="18"/>
      <w:szCs w:val="18"/>
    </w:rPr>
  </w:style>
  <w:style w:type="paragraph" w:styleId="37">
    <w:name w:val="Body Text Indent 3"/>
    <w:basedOn w:val="1"/>
    <w:link w:val="250"/>
    <w:qFormat/>
    <w:uiPriority w:val="0"/>
    <w:pPr>
      <w:ind w:left="645" w:firstLine="645"/>
    </w:pPr>
    <w:rPr>
      <w:rFonts w:ascii="Arial" w:hAnsi="Arial" w:eastAsia="仿宋_GB2312"/>
      <w:color w:val="FFFF00"/>
      <w:sz w:val="32"/>
      <w:szCs w:val="32"/>
    </w:rPr>
  </w:style>
  <w:style w:type="paragraph" w:styleId="38">
    <w:name w:val="table of figures"/>
    <w:basedOn w:val="1"/>
    <w:next w:val="1"/>
    <w:semiHidden/>
    <w:qFormat/>
    <w:uiPriority w:val="0"/>
    <w:pPr>
      <w:ind w:left="840" w:hanging="420"/>
    </w:pPr>
    <w:rPr>
      <w:rFonts w:ascii="Times New Roman" w:hAnsi="Times New Roman"/>
      <w:szCs w:val="21"/>
    </w:rPr>
  </w:style>
  <w:style w:type="paragraph" w:styleId="39">
    <w:name w:val="toc 2"/>
    <w:basedOn w:val="1"/>
    <w:next w:val="1"/>
    <w:qFormat/>
    <w:uiPriority w:val="39"/>
    <w:pPr>
      <w:ind w:left="210"/>
      <w:jc w:val="left"/>
    </w:pPr>
    <w:rPr>
      <w:rFonts w:cs="Calibri"/>
      <w:smallCaps/>
      <w:sz w:val="20"/>
      <w:szCs w:val="20"/>
    </w:rPr>
  </w:style>
  <w:style w:type="paragraph" w:styleId="40">
    <w:name w:val="toc 9"/>
    <w:basedOn w:val="1"/>
    <w:next w:val="1"/>
    <w:semiHidden/>
    <w:qFormat/>
    <w:uiPriority w:val="0"/>
    <w:pPr>
      <w:ind w:left="1680"/>
      <w:jc w:val="left"/>
    </w:pPr>
    <w:rPr>
      <w:rFonts w:cs="Calibri"/>
      <w:sz w:val="18"/>
      <w:szCs w:val="18"/>
    </w:rPr>
  </w:style>
  <w:style w:type="paragraph" w:styleId="41">
    <w:name w:val="Body Text 2"/>
    <w:basedOn w:val="1"/>
    <w:link w:val="251"/>
    <w:qFormat/>
    <w:uiPriority w:val="0"/>
    <w:pPr>
      <w:widowControl/>
      <w:jc w:val="center"/>
    </w:pPr>
    <w:rPr>
      <w:rFonts w:ascii="楷体_GB2312" w:hAnsi="Times New Roman" w:eastAsia="楷体_GB2312"/>
      <w:sz w:val="28"/>
      <w:szCs w:val="28"/>
    </w:rPr>
  </w:style>
  <w:style w:type="paragraph" w:styleId="42">
    <w:name w:val="List Continue 2"/>
    <w:basedOn w:val="1"/>
    <w:unhideWhenUsed/>
    <w:qFormat/>
    <w:uiPriority w:val="99"/>
    <w:pPr>
      <w:spacing w:after="120"/>
      <w:ind w:left="840"/>
      <w:contextualSpacing/>
    </w:p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rFonts w:ascii="Times New Roman" w:hAnsi="Times New Roman"/>
      <w:b/>
      <w:bCs/>
      <w:szCs w:val="21"/>
    </w:rPr>
  </w:style>
  <w:style w:type="paragraph" w:styleId="45">
    <w:name w:val="Title"/>
    <w:basedOn w:val="1"/>
    <w:next w:val="1"/>
    <w:link w:val="89"/>
    <w:qFormat/>
    <w:uiPriority w:val="10"/>
    <w:pPr>
      <w:spacing w:before="300" w:after="200"/>
      <w:contextualSpacing/>
    </w:pPr>
    <w:rPr>
      <w:sz w:val="48"/>
      <w:szCs w:val="48"/>
    </w:rPr>
  </w:style>
  <w:style w:type="paragraph" w:styleId="46">
    <w:name w:val="annotation subject"/>
    <w:basedOn w:val="16"/>
    <w:next w:val="16"/>
    <w:link w:val="252"/>
    <w:semiHidden/>
    <w:qFormat/>
    <w:uiPriority w:val="0"/>
    <w:rPr>
      <w:rFonts w:ascii="Times New Roman" w:hAnsi="Times New Roman"/>
      <w:b/>
      <w:bCs/>
      <w:sz w:val="20"/>
      <w:szCs w:val="21"/>
    </w:rPr>
  </w:style>
  <w:style w:type="paragraph" w:styleId="47">
    <w:name w:val="Body Text First Indent"/>
    <w:basedOn w:val="1"/>
    <w:link w:val="253"/>
    <w:qFormat/>
    <w:uiPriority w:val="0"/>
    <w:pPr>
      <w:spacing w:line="360" w:lineRule="auto"/>
      <w:ind w:firstLine="200"/>
    </w:pPr>
    <w:rPr>
      <w:rFonts w:ascii="仿宋_GB2312" w:hAnsi="Times New Roman" w:eastAsia="仿宋_GB2312"/>
      <w:sz w:val="30"/>
      <w:szCs w:val="30"/>
    </w:rPr>
  </w:style>
  <w:style w:type="paragraph" w:styleId="48">
    <w:name w:val="Body Text First Indent 2"/>
    <w:basedOn w:val="19"/>
    <w:link w:val="254"/>
    <w:qFormat/>
    <w:uiPriority w:val="0"/>
    <w:pPr>
      <w:spacing w:after="0" w:line="360" w:lineRule="auto"/>
      <w:ind w:left="0" w:firstLine="420"/>
    </w:pPr>
    <w:rPr>
      <w:rFonts w:ascii="宋体" w:hAnsi="宋体"/>
      <w:sz w:val="20"/>
      <w:szCs w:val="20"/>
    </w:rPr>
  </w:style>
  <w:style w:type="table" w:styleId="50">
    <w:name w:val="Table Grid"/>
    <w:basedOn w:val="49"/>
    <w:qFormat/>
    <w:uiPriority w:val="0"/>
    <w:pPr>
      <w:widowControl w:val="0"/>
      <w:jc w:val="both"/>
    </w:pPr>
    <w:tblPr>
      <w:tblCellMar>
        <w:top w:w="0" w:type="dxa"/>
        <w:left w:w="108" w:type="dxa"/>
        <w:bottom w:w="0" w:type="dxa"/>
        <w:right w:w="108" w:type="dxa"/>
      </w:tblCellMar>
    </w:tblPr>
  </w:style>
  <w:style w:type="character" w:styleId="52">
    <w:name w:val="Strong"/>
    <w:qFormat/>
    <w:uiPriority w:val="0"/>
    <w:rPr>
      <w:b/>
      <w:bCs/>
    </w:rPr>
  </w:style>
  <w:style w:type="character" w:styleId="53">
    <w:name w:val="endnote reference"/>
    <w:semiHidden/>
    <w:unhideWhenUsed/>
    <w:qFormat/>
    <w:uiPriority w:val="99"/>
    <w:rPr>
      <w:vertAlign w:val="superscript"/>
    </w:rPr>
  </w:style>
  <w:style w:type="character" w:styleId="54">
    <w:name w:val="page number"/>
    <w:qFormat/>
    <w:uiPriority w:val="0"/>
  </w:style>
  <w:style w:type="character" w:styleId="55">
    <w:name w:val="FollowedHyperlink"/>
    <w:qFormat/>
    <w:uiPriority w:val="0"/>
    <w:rPr>
      <w:color w:val="800080"/>
      <w:u w:val="single"/>
    </w:rPr>
  </w:style>
  <w:style w:type="character" w:styleId="56">
    <w:name w:val="Hyperlink"/>
    <w:qFormat/>
    <w:uiPriority w:val="99"/>
    <w:rPr>
      <w:color w:val="0000FF"/>
      <w:u w:val="single"/>
    </w:rPr>
  </w:style>
  <w:style w:type="character" w:styleId="57">
    <w:name w:val="annotation reference"/>
    <w:semiHidden/>
    <w:qFormat/>
    <w:uiPriority w:val="0"/>
    <w:rPr>
      <w:sz w:val="21"/>
      <w:szCs w:val="21"/>
    </w:rPr>
  </w:style>
  <w:style w:type="character" w:styleId="58">
    <w:name w:val="footnote reference"/>
    <w:unhideWhenUsed/>
    <w:qFormat/>
    <w:uiPriority w:val="99"/>
    <w:rPr>
      <w:vertAlign w:val="superscript"/>
    </w:rPr>
  </w:style>
  <w:style w:type="paragraph" w:customStyle="1" w:styleId="59">
    <w:name w:val="TOC Heading"/>
    <w:unhideWhenUsed/>
    <w:uiPriority w:val="39"/>
    <w:rPr>
      <w:rFonts w:hint="default" w:ascii="Times New Roman" w:hAnsi="Times New Roman" w:eastAsia="宋体" w:cs="Times New Roman"/>
    </w:rPr>
  </w:style>
  <w:style w:type="paragraph" w:customStyle="1" w:styleId="60">
    <w:name w:val="TOC 标题1"/>
    <w:unhideWhenUsed/>
    <w:qFormat/>
    <w:uiPriority w:val="39"/>
    <w:rPr>
      <w:rFonts w:hint="default" w:ascii="Times New Roman" w:hAnsi="Times New Roman" w:eastAsia="宋体" w:cs="Times New Roman"/>
      <w:lang w:val="en-US" w:eastAsia="zh-CN" w:bidi="ar-SA"/>
    </w:rPr>
  </w:style>
  <w:style w:type="paragraph" w:customStyle="1" w:styleId="61">
    <w:name w:val="TOC 标题112"/>
    <w:unhideWhenUsed/>
    <w:qFormat/>
    <w:uiPriority w:val="39"/>
    <w:rPr>
      <w:rFonts w:hint="default" w:ascii="Calibri" w:hAnsi="Calibri" w:eastAsia="宋体" w:cs="Times New Roman"/>
      <w:lang w:val="en-US" w:eastAsia="zh-CN" w:bidi="ar-SA"/>
    </w:rPr>
  </w:style>
  <w:style w:type="character" w:customStyle="1" w:styleId="62">
    <w:name w:val="Title Char"/>
    <w:basedOn w:val="51"/>
    <w:qFormat/>
    <w:uiPriority w:val="10"/>
    <w:rPr>
      <w:sz w:val="48"/>
      <w:szCs w:val="48"/>
    </w:rPr>
  </w:style>
  <w:style w:type="character" w:customStyle="1" w:styleId="63">
    <w:name w:val="Subtitle Char"/>
    <w:basedOn w:val="51"/>
    <w:qFormat/>
    <w:uiPriority w:val="11"/>
    <w:rPr>
      <w:sz w:val="24"/>
      <w:szCs w:val="24"/>
    </w:rPr>
  </w:style>
  <w:style w:type="character" w:customStyle="1" w:styleId="64">
    <w:name w:val="Quote Char"/>
    <w:qFormat/>
    <w:uiPriority w:val="29"/>
    <w:rPr>
      <w:i/>
    </w:rPr>
  </w:style>
  <w:style w:type="character" w:customStyle="1" w:styleId="65">
    <w:name w:val="Intense Quote Char"/>
    <w:qFormat/>
    <w:uiPriority w:val="30"/>
    <w:rPr>
      <w:i/>
    </w:rPr>
  </w:style>
  <w:style w:type="character" w:customStyle="1" w:styleId="66">
    <w:name w:val="Footnote Text Char"/>
    <w:qFormat/>
    <w:uiPriority w:val="99"/>
    <w:rPr>
      <w:sz w:val="18"/>
    </w:rPr>
  </w:style>
  <w:style w:type="character" w:customStyle="1" w:styleId="67">
    <w:name w:val="Endnote Text Char"/>
    <w:qFormat/>
    <w:uiPriority w:val="99"/>
    <w:rPr>
      <w:sz w:val="20"/>
    </w:rPr>
  </w:style>
  <w:style w:type="paragraph" w:customStyle="1" w:styleId="68">
    <w:name w:val="TOC 标题111"/>
    <w:unhideWhenUsed/>
    <w:qFormat/>
    <w:uiPriority w:val="39"/>
    <w:rPr>
      <w:rFonts w:hint="default" w:ascii="Calibri" w:hAnsi="Calibri" w:eastAsia="宋体" w:cs="Times New Roman"/>
      <w:lang w:val="en-US" w:eastAsia="zh-CN" w:bidi="ar-SA"/>
    </w:rPr>
  </w:style>
  <w:style w:type="paragraph" w:customStyle="1" w:styleId="69">
    <w:name w:val="标题 11"/>
    <w:basedOn w:val="1"/>
    <w:next w:val="1"/>
    <w:link w:val="70"/>
    <w:qFormat/>
    <w:uiPriority w:val="9"/>
    <w:pPr>
      <w:keepNext/>
      <w:keepLines/>
      <w:spacing w:before="480" w:after="200"/>
      <w:outlineLvl w:val="0"/>
    </w:pPr>
    <w:rPr>
      <w:rFonts w:ascii="Arial" w:hAnsi="Arial" w:eastAsia="Arial"/>
      <w:sz w:val="40"/>
      <w:szCs w:val="40"/>
    </w:rPr>
  </w:style>
  <w:style w:type="character" w:customStyle="1" w:styleId="70">
    <w:name w:val="Heading 1 Char"/>
    <w:link w:val="69"/>
    <w:qFormat/>
    <w:uiPriority w:val="9"/>
    <w:rPr>
      <w:rFonts w:ascii="Arial" w:hAnsi="Arial" w:eastAsia="Arial" w:cs="Arial"/>
      <w:sz w:val="40"/>
      <w:szCs w:val="40"/>
    </w:rPr>
  </w:style>
  <w:style w:type="paragraph" w:customStyle="1" w:styleId="71">
    <w:name w:val="标题 21"/>
    <w:basedOn w:val="1"/>
    <w:next w:val="1"/>
    <w:link w:val="72"/>
    <w:unhideWhenUsed/>
    <w:qFormat/>
    <w:uiPriority w:val="9"/>
    <w:pPr>
      <w:keepNext/>
      <w:keepLines/>
      <w:spacing w:before="360" w:after="200"/>
      <w:outlineLvl w:val="1"/>
    </w:pPr>
    <w:rPr>
      <w:rFonts w:ascii="Arial" w:hAnsi="Arial" w:eastAsia="Arial"/>
      <w:sz w:val="34"/>
      <w:szCs w:val="20"/>
    </w:rPr>
  </w:style>
  <w:style w:type="character" w:customStyle="1" w:styleId="72">
    <w:name w:val="Heading 2 Char"/>
    <w:link w:val="71"/>
    <w:qFormat/>
    <w:uiPriority w:val="9"/>
    <w:rPr>
      <w:rFonts w:ascii="Arial" w:hAnsi="Arial" w:eastAsia="Arial" w:cs="Arial"/>
      <w:sz w:val="34"/>
    </w:rPr>
  </w:style>
  <w:style w:type="paragraph" w:customStyle="1" w:styleId="73">
    <w:name w:val="标题 31"/>
    <w:basedOn w:val="1"/>
    <w:next w:val="1"/>
    <w:link w:val="74"/>
    <w:unhideWhenUsed/>
    <w:qFormat/>
    <w:uiPriority w:val="9"/>
    <w:pPr>
      <w:keepNext/>
      <w:keepLines/>
      <w:spacing w:before="320" w:after="200"/>
      <w:outlineLvl w:val="2"/>
    </w:pPr>
    <w:rPr>
      <w:rFonts w:ascii="Arial" w:hAnsi="Arial" w:eastAsia="Arial"/>
      <w:sz w:val="30"/>
      <w:szCs w:val="30"/>
    </w:rPr>
  </w:style>
  <w:style w:type="character" w:customStyle="1" w:styleId="74">
    <w:name w:val="Heading 3 Char"/>
    <w:link w:val="73"/>
    <w:qFormat/>
    <w:uiPriority w:val="9"/>
    <w:rPr>
      <w:rFonts w:ascii="Arial" w:hAnsi="Arial" w:eastAsia="Arial" w:cs="Arial"/>
      <w:sz w:val="30"/>
      <w:szCs w:val="30"/>
    </w:rPr>
  </w:style>
  <w:style w:type="paragraph" w:customStyle="1" w:styleId="75">
    <w:name w:val="标题 41"/>
    <w:basedOn w:val="1"/>
    <w:next w:val="1"/>
    <w:link w:val="76"/>
    <w:unhideWhenUsed/>
    <w:qFormat/>
    <w:uiPriority w:val="9"/>
    <w:pPr>
      <w:keepNext/>
      <w:keepLines/>
      <w:spacing w:before="320" w:after="200"/>
      <w:outlineLvl w:val="3"/>
    </w:pPr>
    <w:rPr>
      <w:rFonts w:ascii="Arial" w:hAnsi="Arial" w:eastAsia="Arial"/>
      <w:b/>
      <w:bCs/>
      <w:sz w:val="26"/>
      <w:szCs w:val="26"/>
    </w:rPr>
  </w:style>
  <w:style w:type="character" w:customStyle="1" w:styleId="76">
    <w:name w:val="Heading 4 Char"/>
    <w:link w:val="75"/>
    <w:qFormat/>
    <w:uiPriority w:val="9"/>
    <w:rPr>
      <w:rFonts w:ascii="Arial" w:hAnsi="Arial" w:eastAsia="Arial" w:cs="Arial"/>
      <w:b/>
      <w:bCs/>
      <w:sz w:val="26"/>
      <w:szCs w:val="26"/>
    </w:rPr>
  </w:style>
  <w:style w:type="paragraph" w:customStyle="1" w:styleId="77">
    <w:name w:val="标题 51"/>
    <w:basedOn w:val="1"/>
    <w:next w:val="1"/>
    <w:link w:val="78"/>
    <w:unhideWhenUsed/>
    <w:qFormat/>
    <w:uiPriority w:val="9"/>
    <w:pPr>
      <w:keepNext/>
      <w:keepLines/>
      <w:spacing w:before="320" w:after="200"/>
      <w:outlineLvl w:val="4"/>
    </w:pPr>
    <w:rPr>
      <w:rFonts w:ascii="Arial" w:hAnsi="Arial" w:eastAsia="Arial"/>
      <w:b/>
      <w:bCs/>
      <w:sz w:val="24"/>
      <w:szCs w:val="24"/>
    </w:rPr>
  </w:style>
  <w:style w:type="character" w:customStyle="1" w:styleId="78">
    <w:name w:val="Heading 5 Char"/>
    <w:link w:val="77"/>
    <w:qFormat/>
    <w:uiPriority w:val="9"/>
    <w:rPr>
      <w:rFonts w:ascii="Arial" w:hAnsi="Arial" w:eastAsia="Arial" w:cs="Arial"/>
      <w:b/>
      <w:bCs/>
      <w:sz w:val="24"/>
      <w:szCs w:val="24"/>
    </w:rPr>
  </w:style>
  <w:style w:type="paragraph" w:customStyle="1" w:styleId="79">
    <w:name w:val="标题 61"/>
    <w:basedOn w:val="1"/>
    <w:next w:val="1"/>
    <w:link w:val="80"/>
    <w:unhideWhenUsed/>
    <w:qFormat/>
    <w:uiPriority w:val="9"/>
    <w:pPr>
      <w:keepNext/>
      <w:keepLines/>
      <w:spacing w:before="320" w:after="200"/>
      <w:outlineLvl w:val="5"/>
    </w:pPr>
    <w:rPr>
      <w:rFonts w:ascii="Arial" w:hAnsi="Arial" w:eastAsia="Arial"/>
      <w:b/>
      <w:bCs/>
      <w:sz w:val="22"/>
    </w:rPr>
  </w:style>
  <w:style w:type="character" w:customStyle="1" w:styleId="80">
    <w:name w:val="Heading 6 Char"/>
    <w:link w:val="79"/>
    <w:qFormat/>
    <w:uiPriority w:val="9"/>
    <w:rPr>
      <w:rFonts w:ascii="Arial" w:hAnsi="Arial" w:eastAsia="Arial" w:cs="Arial"/>
      <w:b/>
      <w:bCs/>
      <w:sz w:val="22"/>
      <w:szCs w:val="22"/>
    </w:rPr>
  </w:style>
  <w:style w:type="paragraph" w:customStyle="1" w:styleId="81">
    <w:name w:val="标题 71"/>
    <w:basedOn w:val="1"/>
    <w:next w:val="1"/>
    <w:link w:val="82"/>
    <w:unhideWhenUsed/>
    <w:qFormat/>
    <w:uiPriority w:val="9"/>
    <w:pPr>
      <w:keepNext/>
      <w:keepLines/>
      <w:spacing w:before="320" w:after="200"/>
      <w:outlineLvl w:val="6"/>
    </w:pPr>
    <w:rPr>
      <w:rFonts w:ascii="Arial" w:hAnsi="Arial" w:eastAsia="Arial"/>
      <w:b/>
      <w:bCs/>
      <w:i/>
      <w:iCs/>
      <w:sz w:val="22"/>
    </w:rPr>
  </w:style>
  <w:style w:type="character" w:customStyle="1" w:styleId="82">
    <w:name w:val="Heading 7 Char"/>
    <w:link w:val="81"/>
    <w:qFormat/>
    <w:uiPriority w:val="9"/>
    <w:rPr>
      <w:rFonts w:ascii="Arial" w:hAnsi="Arial" w:eastAsia="Arial" w:cs="Arial"/>
      <w:b/>
      <w:bCs/>
      <w:i/>
      <w:iCs/>
      <w:sz w:val="22"/>
      <w:szCs w:val="22"/>
    </w:rPr>
  </w:style>
  <w:style w:type="paragraph" w:customStyle="1" w:styleId="83">
    <w:name w:val="标题 81"/>
    <w:basedOn w:val="1"/>
    <w:next w:val="1"/>
    <w:link w:val="84"/>
    <w:unhideWhenUsed/>
    <w:qFormat/>
    <w:uiPriority w:val="9"/>
    <w:pPr>
      <w:keepNext/>
      <w:keepLines/>
      <w:spacing w:before="320" w:after="200"/>
      <w:outlineLvl w:val="7"/>
    </w:pPr>
    <w:rPr>
      <w:rFonts w:ascii="Arial" w:hAnsi="Arial" w:eastAsia="Arial"/>
      <w:i/>
      <w:iCs/>
      <w:sz w:val="22"/>
    </w:rPr>
  </w:style>
  <w:style w:type="character" w:customStyle="1" w:styleId="84">
    <w:name w:val="Heading 8 Char"/>
    <w:link w:val="83"/>
    <w:qFormat/>
    <w:uiPriority w:val="9"/>
    <w:rPr>
      <w:rFonts w:ascii="Arial" w:hAnsi="Arial" w:eastAsia="Arial" w:cs="Arial"/>
      <w:i/>
      <w:iCs/>
      <w:sz w:val="22"/>
      <w:szCs w:val="22"/>
    </w:rPr>
  </w:style>
  <w:style w:type="paragraph" w:customStyle="1" w:styleId="85">
    <w:name w:val="标题 91"/>
    <w:basedOn w:val="1"/>
    <w:next w:val="1"/>
    <w:link w:val="86"/>
    <w:unhideWhenUsed/>
    <w:qFormat/>
    <w:uiPriority w:val="9"/>
    <w:pPr>
      <w:keepNext/>
      <w:keepLines/>
      <w:spacing w:before="320" w:after="200"/>
      <w:outlineLvl w:val="8"/>
    </w:pPr>
    <w:rPr>
      <w:rFonts w:ascii="Arial" w:hAnsi="Arial" w:eastAsia="Arial"/>
      <w:i/>
      <w:iCs/>
      <w:szCs w:val="21"/>
    </w:rPr>
  </w:style>
  <w:style w:type="character" w:customStyle="1" w:styleId="86">
    <w:name w:val="Heading 9 Char"/>
    <w:link w:val="85"/>
    <w:qFormat/>
    <w:uiPriority w:val="9"/>
    <w:rPr>
      <w:rFonts w:ascii="Arial" w:hAnsi="Arial" w:eastAsia="Arial" w:cs="Arial"/>
      <w:i/>
      <w:iCs/>
      <w:sz w:val="21"/>
      <w:szCs w:val="21"/>
    </w:rPr>
  </w:style>
  <w:style w:type="paragraph" w:styleId="87">
    <w:name w:val="List Paragraph"/>
    <w:basedOn w:val="1"/>
    <w:qFormat/>
    <w:uiPriority w:val="34"/>
    <w:pPr>
      <w:widowControl/>
      <w:ind w:left="720"/>
      <w:contextualSpacing/>
      <w:jc w:val="left"/>
    </w:pPr>
    <w:rPr>
      <w:sz w:val="24"/>
      <w:szCs w:val="24"/>
      <w:lang w:eastAsia="en-US" w:bidi="en-US"/>
    </w:rPr>
  </w:style>
  <w:style w:type="paragraph" w:styleId="88">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89">
    <w:name w:val="标题 Char"/>
    <w:link w:val="45"/>
    <w:qFormat/>
    <w:uiPriority w:val="10"/>
    <w:rPr>
      <w:sz w:val="48"/>
      <w:szCs w:val="48"/>
    </w:rPr>
  </w:style>
  <w:style w:type="character" w:customStyle="1" w:styleId="90">
    <w:name w:val="副标题 Char"/>
    <w:link w:val="33"/>
    <w:qFormat/>
    <w:uiPriority w:val="11"/>
    <w:rPr>
      <w:sz w:val="24"/>
      <w:szCs w:val="24"/>
    </w:rPr>
  </w:style>
  <w:style w:type="paragraph" w:styleId="91">
    <w:name w:val="Quote"/>
    <w:basedOn w:val="1"/>
    <w:next w:val="1"/>
    <w:link w:val="92"/>
    <w:qFormat/>
    <w:uiPriority w:val="29"/>
    <w:pPr>
      <w:ind w:left="720" w:right="720"/>
    </w:pPr>
    <w:rPr>
      <w:i/>
      <w:sz w:val="20"/>
      <w:szCs w:val="20"/>
    </w:rPr>
  </w:style>
  <w:style w:type="character" w:customStyle="1" w:styleId="92">
    <w:name w:val="引用 Char"/>
    <w:link w:val="91"/>
    <w:qFormat/>
    <w:uiPriority w:val="29"/>
    <w:rPr>
      <w:i/>
    </w:rPr>
  </w:style>
  <w:style w:type="paragraph" w:styleId="93">
    <w:name w:val="Intense Quote"/>
    <w:basedOn w:val="1"/>
    <w:next w:val="1"/>
    <w:link w:val="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94">
    <w:name w:val="明显引用 Char"/>
    <w:link w:val="93"/>
    <w:qFormat/>
    <w:uiPriority w:val="30"/>
    <w:rPr>
      <w:i/>
    </w:rPr>
  </w:style>
  <w:style w:type="paragraph" w:customStyle="1" w:styleId="95">
    <w:name w:val="页眉1"/>
    <w:basedOn w:val="1"/>
    <w:link w:val="96"/>
    <w:unhideWhenUsed/>
    <w:qFormat/>
    <w:uiPriority w:val="99"/>
    <w:pPr>
      <w:tabs>
        <w:tab w:val="center" w:pos="7143"/>
        <w:tab w:val="right" w:pos="14287"/>
      </w:tabs>
    </w:pPr>
  </w:style>
  <w:style w:type="character" w:customStyle="1" w:styleId="96">
    <w:name w:val="Header Char"/>
    <w:link w:val="95"/>
    <w:qFormat/>
    <w:uiPriority w:val="99"/>
  </w:style>
  <w:style w:type="paragraph" w:customStyle="1" w:styleId="97">
    <w:name w:val="页脚1"/>
    <w:basedOn w:val="1"/>
    <w:link w:val="100"/>
    <w:unhideWhenUsed/>
    <w:qFormat/>
    <w:uiPriority w:val="99"/>
    <w:pPr>
      <w:tabs>
        <w:tab w:val="center" w:pos="7143"/>
        <w:tab w:val="right" w:pos="14287"/>
      </w:tabs>
    </w:pPr>
  </w:style>
  <w:style w:type="character" w:customStyle="1" w:styleId="98">
    <w:name w:val="Footer Char"/>
    <w:qFormat/>
    <w:uiPriority w:val="99"/>
  </w:style>
  <w:style w:type="paragraph" w:customStyle="1" w:styleId="99">
    <w:name w:val="题注1"/>
    <w:basedOn w:val="1"/>
    <w:next w:val="1"/>
    <w:semiHidden/>
    <w:unhideWhenUsed/>
    <w:qFormat/>
    <w:uiPriority w:val="35"/>
    <w:pPr>
      <w:spacing w:line="276" w:lineRule="auto"/>
    </w:pPr>
    <w:rPr>
      <w:b/>
      <w:bCs/>
      <w:color w:val="4F81BD"/>
      <w:sz w:val="18"/>
      <w:szCs w:val="18"/>
    </w:rPr>
  </w:style>
  <w:style w:type="character" w:customStyle="1" w:styleId="100">
    <w:name w:val="Caption Char"/>
    <w:link w:val="97"/>
    <w:qFormat/>
    <w:uiPriority w:val="99"/>
  </w:style>
  <w:style w:type="table" w:customStyle="1" w:styleId="101">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2">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3">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4">
    <w:name w:val="Plain Table 3"/>
    <w:qFormat/>
    <w:uiPriority w:val="99"/>
    <w:tblPr>
      <w:tblCellMar>
        <w:top w:w="0" w:type="dxa"/>
        <w:left w:w="0" w:type="dxa"/>
        <w:bottom w:w="0" w:type="dxa"/>
        <w:right w:w="0" w:type="dxa"/>
      </w:tblCellMar>
    </w:tblPr>
  </w:style>
  <w:style w:type="table" w:customStyle="1" w:styleId="105">
    <w:name w:val="Plain Table 4"/>
    <w:qFormat/>
    <w:uiPriority w:val="99"/>
    <w:tblPr>
      <w:tblCellMar>
        <w:top w:w="0" w:type="dxa"/>
        <w:left w:w="0" w:type="dxa"/>
        <w:bottom w:w="0" w:type="dxa"/>
        <w:right w:w="0" w:type="dxa"/>
      </w:tblCellMar>
    </w:tblPr>
  </w:style>
  <w:style w:type="table" w:customStyle="1" w:styleId="106">
    <w:name w:val="Plain Table 5"/>
    <w:qFormat/>
    <w:uiPriority w:val="99"/>
    <w:tblPr>
      <w:tblCellMar>
        <w:top w:w="0" w:type="dxa"/>
        <w:left w:w="0" w:type="dxa"/>
        <w:bottom w:w="0" w:type="dxa"/>
        <w:right w:w="0" w:type="dxa"/>
      </w:tblCellMar>
    </w:tblPr>
  </w:style>
  <w:style w:type="table" w:customStyle="1" w:styleId="107">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8">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9">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0">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1">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2">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3">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4">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5">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6">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7">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8">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9">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0">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1">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2">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3">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4">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5">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7">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8">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9">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0">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1">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2">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3">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4">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5">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6">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3">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4">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5">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6">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7">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8">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9">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0">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1">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2">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3">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4">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5">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6">
    <w:name w:val="List Table 1 Light"/>
    <w:qFormat/>
    <w:uiPriority w:val="99"/>
    <w:tblPr>
      <w:tblCellMar>
        <w:top w:w="0" w:type="dxa"/>
        <w:left w:w="0" w:type="dxa"/>
        <w:bottom w:w="0" w:type="dxa"/>
        <w:right w:w="0" w:type="dxa"/>
      </w:tblCellMar>
    </w:tblPr>
  </w:style>
  <w:style w:type="table" w:customStyle="1" w:styleId="157">
    <w:name w:val="List Table 1 Light - Accent 1"/>
    <w:qFormat/>
    <w:uiPriority w:val="99"/>
    <w:tblPr>
      <w:tblCellMar>
        <w:top w:w="0" w:type="dxa"/>
        <w:left w:w="0" w:type="dxa"/>
        <w:bottom w:w="0" w:type="dxa"/>
        <w:right w:w="0" w:type="dxa"/>
      </w:tblCellMar>
    </w:tblPr>
  </w:style>
  <w:style w:type="table" w:customStyle="1" w:styleId="158">
    <w:name w:val="List Table 1 Light - Accent 2"/>
    <w:qFormat/>
    <w:uiPriority w:val="99"/>
    <w:tblPr>
      <w:tblCellMar>
        <w:top w:w="0" w:type="dxa"/>
        <w:left w:w="0" w:type="dxa"/>
        <w:bottom w:w="0" w:type="dxa"/>
        <w:right w:w="0" w:type="dxa"/>
      </w:tblCellMar>
    </w:tblPr>
  </w:style>
  <w:style w:type="table" w:customStyle="1" w:styleId="159">
    <w:name w:val="List Table 1 Light - Accent 3"/>
    <w:qFormat/>
    <w:uiPriority w:val="99"/>
    <w:tblPr>
      <w:tblCellMar>
        <w:top w:w="0" w:type="dxa"/>
        <w:left w:w="0" w:type="dxa"/>
        <w:bottom w:w="0" w:type="dxa"/>
        <w:right w:w="0" w:type="dxa"/>
      </w:tblCellMar>
    </w:tblPr>
  </w:style>
  <w:style w:type="table" w:customStyle="1" w:styleId="160">
    <w:name w:val="List Table 1 Light - Accent 4"/>
    <w:qFormat/>
    <w:uiPriority w:val="99"/>
    <w:tblPr>
      <w:tblCellMar>
        <w:top w:w="0" w:type="dxa"/>
        <w:left w:w="0" w:type="dxa"/>
        <w:bottom w:w="0" w:type="dxa"/>
        <w:right w:w="0" w:type="dxa"/>
      </w:tblCellMar>
    </w:tblPr>
  </w:style>
  <w:style w:type="table" w:customStyle="1" w:styleId="161">
    <w:name w:val="List Table 1 Light - Accent 5"/>
    <w:qFormat/>
    <w:uiPriority w:val="99"/>
    <w:tblPr>
      <w:tblCellMar>
        <w:top w:w="0" w:type="dxa"/>
        <w:left w:w="0" w:type="dxa"/>
        <w:bottom w:w="0" w:type="dxa"/>
        <w:right w:w="0" w:type="dxa"/>
      </w:tblCellMar>
    </w:tblPr>
  </w:style>
  <w:style w:type="table" w:customStyle="1" w:styleId="162">
    <w:name w:val="List Table 1 Light - Accent 6"/>
    <w:qFormat/>
    <w:uiPriority w:val="99"/>
    <w:tblPr>
      <w:tblCellMar>
        <w:top w:w="0" w:type="dxa"/>
        <w:left w:w="0" w:type="dxa"/>
        <w:bottom w:w="0" w:type="dxa"/>
        <w:right w:w="0" w:type="dxa"/>
      </w:tblCellMar>
    </w:tblPr>
  </w:style>
  <w:style w:type="table" w:customStyle="1" w:styleId="163">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4">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5">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6">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7">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8">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9">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0">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1">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2">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3">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4">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5">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6">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7">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8">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9">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0">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1">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2">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3">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4">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5">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6">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7">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8">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9">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0">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1">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2">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3">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4">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5">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6">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7">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8">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99">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0">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1">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2">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3">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4">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5">
    <w:name w:val="Lined - Accent"/>
    <w:qFormat/>
    <w:uiPriority w:val="99"/>
    <w:rPr>
      <w:color w:val="404040"/>
    </w:rPr>
    <w:tblPr>
      <w:tblCellMar>
        <w:top w:w="0" w:type="dxa"/>
        <w:left w:w="0" w:type="dxa"/>
        <w:bottom w:w="0" w:type="dxa"/>
        <w:right w:w="0" w:type="dxa"/>
      </w:tblCellMar>
    </w:tblPr>
  </w:style>
  <w:style w:type="table" w:customStyle="1" w:styleId="206">
    <w:name w:val="Lined - Accent 1"/>
    <w:qFormat/>
    <w:uiPriority w:val="99"/>
    <w:rPr>
      <w:color w:val="404040"/>
    </w:rPr>
    <w:tblPr>
      <w:tblCellMar>
        <w:top w:w="0" w:type="dxa"/>
        <w:left w:w="0" w:type="dxa"/>
        <w:bottom w:w="0" w:type="dxa"/>
        <w:right w:w="0" w:type="dxa"/>
      </w:tblCellMar>
    </w:tblPr>
  </w:style>
  <w:style w:type="table" w:customStyle="1" w:styleId="207">
    <w:name w:val="Lined - Accent 2"/>
    <w:qFormat/>
    <w:uiPriority w:val="99"/>
    <w:rPr>
      <w:color w:val="404040"/>
    </w:rPr>
    <w:tblPr>
      <w:tblCellMar>
        <w:top w:w="0" w:type="dxa"/>
        <w:left w:w="0" w:type="dxa"/>
        <w:bottom w:w="0" w:type="dxa"/>
        <w:right w:w="0" w:type="dxa"/>
      </w:tblCellMar>
    </w:tblPr>
  </w:style>
  <w:style w:type="table" w:customStyle="1" w:styleId="208">
    <w:name w:val="Lined - Accent 3"/>
    <w:qFormat/>
    <w:uiPriority w:val="99"/>
    <w:rPr>
      <w:color w:val="404040"/>
    </w:rPr>
    <w:tblPr>
      <w:tblCellMar>
        <w:top w:w="0" w:type="dxa"/>
        <w:left w:w="0" w:type="dxa"/>
        <w:bottom w:w="0" w:type="dxa"/>
        <w:right w:w="0" w:type="dxa"/>
      </w:tblCellMar>
    </w:tblPr>
  </w:style>
  <w:style w:type="table" w:customStyle="1" w:styleId="209">
    <w:name w:val="Lined - Accent 4"/>
    <w:qFormat/>
    <w:uiPriority w:val="99"/>
    <w:rPr>
      <w:color w:val="404040"/>
    </w:rPr>
    <w:tblPr>
      <w:tblCellMar>
        <w:top w:w="0" w:type="dxa"/>
        <w:left w:w="0" w:type="dxa"/>
        <w:bottom w:w="0" w:type="dxa"/>
        <w:right w:w="0" w:type="dxa"/>
      </w:tblCellMar>
    </w:tblPr>
  </w:style>
  <w:style w:type="table" w:customStyle="1" w:styleId="210">
    <w:name w:val="Lined - Accent 5"/>
    <w:qFormat/>
    <w:uiPriority w:val="99"/>
    <w:rPr>
      <w:color w:val="404040"/>
    </w:rPr>
    <w:tblPr>
      <w:tblCellMar>
        <w:top w:w="0" w:type="dxa"/>
        <w:left w:w="0" w:type="dxa"/>
        <w:bottom w:w="0" w:type="dxa"/>
        <w:right w:w="0" w:type="dxa"/>
      </w:tblCellMar>
    </w:tblPr>
  </w:style>
  <w:style w:type="table" w:customStyle="1" w:styleId="211">
    <w:name w:val="Lined - Accent 6"/>
    <w:qFormat/>
    <w:uiPriority w:val="99"/>
    <w:rPr>
      <w:color w:val="404040"/>
    </w:rPr>
    <w:tblPr>
      <w:tblCellMar>
        <w:top w:w="0" w:type="dxa"/>
        <w:left w:w="0" w:type="dxa"/>
        <w:bottom w:w="0" w:type="dxa"/>
        <w:right w:w="0" w:type="dxa"/>
      </w:tblCellMar>
    </w:tblPr>
  </w:style>
  <w:style w:type="table" w:customStyle="1" w:styleId="212">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3">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4">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5">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6">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7">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8">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9">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0">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1">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2">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3">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4">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5">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6">
    <w:name w:val="脚注文本 Char"/>
    <w:link w:val="35"/>
    <w:qFormat/>
    <w:uiPriority w:val="99"/>
    <w:rPr>
      <w:sz w:val="18"/>
    </w:rPr>
  </w:style>
  <w:style w:type="character" w:customStyle="1" w:styleId="227">
    <w:name w:val="尾注文本 Char"/>
    <w:link w:val="27"/>
    <w:qFormat/>
    <w:uiPriority w:val="99"/>
    <w:rPr>
      <w:sz w:val="20"/>
    </w:rPr>
  </w:style>
  <w:style w:type="paragraph" w:customStyle="1" w:styleId="228">
    <w:name w:val="TOC 标题11"/>
    <w:unhideWhenUsed/>
    <w:qFormat/>
    <w:uiPriority w:val="39"/>
    <w:rPr>
      <w:rFonts w:hint="default" w:ascii="Calibri" w:hAnsi="Calibri" w:eastAsia="宋体" w:cs="Times New Roman"/>
      <w:lang w:val="en-US" w:eastAsia="zh-CN" w:bidi="ar-SA"/>
    </w:rPr>
  </w:style>
  <w:style w:type="character" w:customStyle="1" w:styleId="229">
    <w:name w:val="标题 1 Char"/>
    <w:link w:val="2"/>
    <w:qFormat/>
    <w:uiPriority w:val="0"/>
    <w:rPr>
      <w:rFonts w:ascii="楷体_GB2312" w:hAnsi="Times New Roman" w:eastAsia="楷体_GB2312" w:cs="Times New Roman"/>
      <w:sz w:val="28"/>
      <w:szCs w:val="28"/>
    </w:rPr>
  </w:style>
  <w:style w:type="character" w:customStyle="1" w:styleId="230">
    <w:name w:val="标题 2 Char"/>
    <w:link w:val="3"/>
    <w:qFormat/>
    <w:uiPriority w:val="0"/>
    <w:rPr>
      <w:rFonts w:ascii="Arial" w:hAnsi="Arial" w:eastAsia="幼圆" w:cs="Arial"/>
      <w:b/>
      <w:bCs/>
      <w:sz w:val="44"/>
      <w:szCs w:val="44"/>
    </w:rPr>
  </w:style>
  <w:style w:type="character" w:customStyle="1" w:styleId="231">
    <w:name w:val="正文缩进 Char"/>
    <w:link w:val="4"/>
    <w:qFormat/>
    <w:uiPriority w:val="0"/>
    <w:rPr>
      <w:szCs w:val="21"/>
    </w:rPr>
  </w:style>
  <w:style w:type="character" w:customStyle="1" w:styleId="232">
    <w:name w:val="标题 3 Char"/>
    <w:link w:val="5"/>
    <w:qFormat/>
    <w:uiPriority w:val="0"/>
    <w:rPr>
      <w:rFonts w:ascii="Times New Roman" w:hAnsi="Times New Roman" w:eastAsia="宋体" w:cs="Times New Roman"/>
      <w:b/>
      <w:bCs/>
      <w:sz w:val="32"/>
      <w:szCs w:val="32"/>
    </w:rPr>
  </w:style>
  <w:style w:type="character" w:customStyle="1" w:styleId="233">
    <w:name w:val="标题 4 Char"/>
    <w:link w:val="6"/>
    <w:qFormat/>
    <w:uiPriority w:val="0"/>
    <w:rPr>
      <w:rFonts w:ascii="Arial" w:hAnsi="Arial" w:eastAsia="黑体" w:cs="Arial"/>
      <w:b/>
      <w:bCs/>
      <w:sz w:val="28"/>
      <w:szCs w:val="28"/>
    </w:rPr>
  </w:style>
  <w:style w:type="character" w:customStyle="1" w:styleId="234">
    <w:name w:val="标题 5 Char"/>
    <w:link w:val="7"/>
    <w:qFormat/>
    <w:uiPriority w:val="0"/>
    <w:rPr>
      <w:rFonts w:ascii="宋体" w:hAnsi="Times New Roman" w:eastAsia="宋体" w:cs="Times New Roman"/>
      <w:color w:val="000000"/>
      <w:sz w:val="28"/>
      <w:szCs w:val="28"/>
    </w:rPr>
  </w:style>
  <w:style w:type="character" w:customStyle="1" w:styleId="235">
    <w:name w:val="标题 6 Char"/>
    <w:link w:val="8"/>
    <w:qFormat/>
    <w:uiPriority w:val="0"/>
    <w:rPr>
      <w:rFonts w:ascii="Arial" w:hAnsi="Arial" w:eastAsia="黑体" w:cs="Times New Roman"/>
      <w:b/>
      <w:bCs/>
      <w:sz w:val="24"/>
      <w:szCs w:val="24"/>
    </w:rPr>
  </w:style>
  <w:style w:type="character" w:customStyle="1" w:styleId="236">
    <w:name w:val="标题 7 Char"/>
    <w:link w:val="9"/>
    <w:qFormat/>
    <w:uiPriority w:val="0"/>
    <w:rPr>
      <w:rFonts w:ascii="Times New Roman" w:hAnsi="Times New Roman" w:eastAsia="宋体" w:cs="Times New Roman"/>
      <w:b/>
      <w:bCs/>
      <w:sz w:val="24"/>
      <w:szCs w:val="24"/>
    </w:rPr>
  </w:style>
  <w:style w:type="character" w:customStyle="1" w:styleId="237">
    <w:name w:val="标题 8 Char"/>
    <w:link w:val="10"/>
    <w:qFormat/>
    <w:uiPriority w:val="0"/>
    <w:rPr>
      <w:rFonts w:ascii="Arial" w:hAnsi="Arial" w:eastAsia="黑体" w:cs="Times New Roman"/>
      <w:sz w:val="24"/>
      <w:szCs w:val="24"/>
    </w:rPr>
  </w:style>
  <w:style w:type="character" w:customStyle="1" w:styleId="238">
    <w:name w:val="标题 9 Char"/>
    <w:link w:val="11"/>
    <w:qFormat/>
    <w:uiPriority w:val="0"/>
    <w:rPr>
      <w:rFonts w:ascii="Arial" w:hAnsi="Arial" w:eastAsia="黑体" w:cs="Times New Roman"/>
      <w:szCs w:val="21"/>
    </w:rPr>
  </w:style>
  <w:style w:type="character" w:customStyle="1" w:styleId="239">
    <w:name w:val="文档结构图 Char"/>
    <w:link w:val="15"/>
    <w:semiHidden/>
    <w:qFormat/>
    <w:uiPriority w:val="0"/>
    <w:rPr>
      <w:rFonts w:ascii="Times New Roman" w:hAnsi="Times New Roman" w:eastAsia="宋体" w:cs="Times New Roman"/>
      <w:szCs w:val="21"/>
      <w:shd w:val="clear" w:color="auto" w:fill="000080"/>
    </w:rPr>
  </w:style>
  <w:style w:type="character" w:customStyle="1" w:styleId="240">
    <w:name w:val="批注文字 Char"/>
    <w:link w:val="16"/>
    <w:semiHidden/>
    <w:qFormat/>
    <w:uiPriority w:val="99"/>
  </w:style>
  <w:style w:type="character" w:customStyle="1" w:styleId="241">
    <w:name w:val="正文文本 3 Char"/>
    <w:link w:val="17"/>
    <w:qFormat/>
    <w:uiPriority w:val="0"/>
    <w:rPr>
      <w:rFonts w:ascii="仿宋_GB2312" w:hAnsi="Arial" w:eastAsia="仿宋_GB2312" w:cs="Times New Roman"/>
      <w:sz w:val="32"/>
      <w:szCs w:val="32"/>
    </w:rPr>
  </w:style>
  <w:style w:type="character" w:customStyle="1" w:styleId="242">
    <w:name w:val="正文文本 Char"/>
    <w:link w:val="18"/>
    <w:qFormat/>
    <w:uiPriority w:val="0"/>
    <w:rPr>
      <w:rFonts w:ascii="楷体_GB2312" w:hAnsi="Arial" w:eastAsia="楷体_GB2312" w:cs="Times New Roman"/>
      <w:sz w:val="28"/>
      <w:szCs w:val="28"/>
    </w:rPr>
  </w:style>
  <w:style w:type="character" w:customStyle="1" w:styleId="243">
    <w:name w:val="正文文本缩进 Char"/>
    <w:link w:val="19"/>
    <w:semiHidden/>
    <w:qFormat/>
    <w:uiPriority w:val="99"/>
  </w:style>
  <w:style w:type="character" w:customStyle="1" w:styleId="244">
    <w:name w:val="纯文本 Char"/>
    <w:link w:val="23"/>
    <w:qFormat/>
    <w:uiPriority w:val="0"/>
    <w:rPr>
      <w:rFonts w:ascii="宋体" w:hAnsi="Courier New" w:eastAsia="宋体" w:cs="Courier New"/>
      <w:szCs w:val="21"/>
    </w:rPr>
  </w:style>
  <w:style w:type="character" w:customStyle="1" w:styleId="245">
    <w:name w:val="日期 Char"/>
    <w:link w:val="25"/>
    <w:qFormat/>
    <w:uiPriority w:val="0"/>
    <w:rPr>
      <w:rFonts w:ascii="Times New Roman" w:hAnsi="Times New Roman" w:eastAsia="宋体" w:cs="Times New Roman"/>
      <w:sz w:val="24"/>
      <w:szCs w:val="24"/>
    </w:rPr>
  </w:style>
  <w:style w:type="character" w:customStyle="1" w:styleId="246">
    <w:name w:val="正文文本缩进 2 Char"/>
    <w:link w:val="26"/>
    <w:qFormat/>
    <w:uiPriority w:val="0"/>
    <w:rPr>
      <w:rFonts w:ascii="Arial" w:hAnsi="Arial" w:eastAsia="仿宋_GB2312" w:cs="Arial"/>
      <w:sz w:val="32"/>
      <w:szCs w:val="32"/>
    </w:rPr>
  </w:style>
  <w:style w:type="character" w:customStyle="1" w:styleId="247">
    <w:name w:val="批注框文本 Char"/>
    <w:link w:val="28"/>
    <w:semiHidden/>
    <w:qFormat/>
    <w:uiPriority w:val="0"/>
    <w:rPr>
      <w:rFonts w:ascii="Times New Roman" w:hAnsi="Times New Roman" w:eastAsia="宋体" w:cs="Times New Roman"/>
      <w:sz w:val="18"/>
      <w:szCs w:val="18"/>
    </w:rPr>
  </w:style>
  <w:style w:type="character" w:customStyle="1" w:styleId="248">
    <w:name w:val="页脚 Char"/>
    <w:link w:val="29"/>
    <w:qFormat/>
    <w:uiPriority w:val="0"/>
    <w:rPr>
      <w:rFonts w:ascii="Times New Roman" w:hAnsi="Times New Roman" w:eastAsia="宋体" w:cs="Times New Roman"/>
      <w:sz w:val="18"/>
      <w:szCs w:val="18"/>
    </w:rPr>
  </w:style>
  <w:style w:type="character" w:customStyle="1" w:styleId="249">
    <w:name w:val="页眉 Char"/>
    <w:link w:val="30"/>
    <w:qFormat/>
    <w:uiPriority w:val="0"/>
    <w:rPr>
      <w:rFonts w:ascii="Times New Roman" w:hAnsi="Times New Roman" w:eastAsia="宋体" w:cs="Times New Roman"/>
      <w:sz w:val="18"/>
      <w:szCs w:val="18"/>
    </w:rPr>
  </w:style>
  <w:style w:type="character" w:customStyle="1" w:styleId="250">
    <w:name w:val="正文文本缩进 3 Char"/>
    <w:link w:val="37"/>
    <w:qFormat/>
    <w:uiPriority w:val="0"/>
    <w:rPr>
      <w:rFonts w:ascii="Arial" w:hAnsi="Arial" w:eastAsia="仿宋_GB2312" w:cs="Arial"/>
      <w:color w:val="FFFF00"/>
      <w:sz w:val="32"/>
      <w:szCs w:val="32"/>
    </w:rPr>
  </w:style>
  <w:style w:type="character" w:customStyle="1" w:styleId="251">
    <w:name w:val="正文文本 2 Char"/>
    <w:link w:val="41"/>
    <w:qFormat/>
    <w:uiPriority w:val="0"/>
    <w:rPr>
      <w:rFonts w:ascii="楷体_GB2312" w:hAnsi="Times New Roman" w:eastAsia="楷体_GB2312" w:cs="Times New Roman"/>
      <w:sz w:val="28"/>
      <w:szCs w:val="28"/>
    </w:rPr>
  </w:style>
  <w:style w:type="character" w:customStyle="1" w:styleId="252">
    <w:name w:val="批注主题 Char"/>
    <w:link w:val="46"/>
    <w:semiHidden/>
    <w:qFormat/>
    <w:uiPriority w:val="0"/>
    <w:rPr>
      <w:rFonts w:ascii="Times New Roman" w:hAnsi="Times New Roman" w:eastAsia="宋体" w:cs="Times New Roman"/>
      <w:b/>
      <w:bCs/>
      <w:szCs w:val="21"/>
    </w:rPr>
  </w:style>
  <w:style w:type="character" w:customStyle="1" w:styleId="253">
    <w:name w:val="正文首行缩进 Char"/>
    <w:link w:val="47"/>
    <w:qFormat/>
    <w:uiPriority w:val="0"/>
    <w:rPr>
      <w:rFonts w:ascii="仿宋_GB2312" w:hAnsi="Times New Roman" w:eastAsia="仿宋_GB2312" w:cs="Times New Roman"/>
      <w:sz w:val="30"/>
      <w:szCs w:val="30"/>
    </w:rPr>
  </w:style>
  <w:style w:type="character" w:customStyle="1" w:styleId="254">
    <w:name w:val="正文首行缩进 2 Char"/>
    <w:link w:val="48"/>
    <w:qFormat/>
    <w:uiPriority w:val="0"/>
    <w:rPr>
      <w:rFonts w:ascii="宋体" w:hAnsi="宋体" w:eastAsia="宋体" w:cs="Times New Roman"/>
      <w:szCs w:val="20"/>
    </w:rPr>
  </w:style>
  <w:style w:type="character" w:customStyle="1" w:styleId="255">
    <w:name w:val="font5 Char"/>
    <w:qFormat/>
    <w:uiPriority w:val="0"/>
    <w:rPr>
      <w:rFonts w:ascii="宋体" w:hAnsi="宋体" w:eastAsia="宋体"/>
      <w:sz w:val="28"/>
      <w:szCs w:val="28"/>
      <w:lang w:val="en-US" w:eastAsia="zh-CN" w:bidi="ar-SA"/>
    </w:rPr>
  </w:style>
  <w:style w:type="character" w:customStyle="1" w:styleId="256">
    <w:name w:val="二级目录 Char"/>
    <w:link w:val="257"/>
    <w:qFormat/>
    <w:uiPriority w:val="0"/>
    <w:rPr>
      <w:b/>
      <w:sz w:val="30"/>
      <w:szCs w:val="28"/>
      <w:lang w:val="en-US" w:eastAsia="zh-CN" w:bidi="ar-SA"/>
    </w:rPr>
  </w:style>
  <w:style w:type="paragraph" w:customStyle="1" w:styleId="257">
    <w:name w:val="二级目录"/>
    <w:next w:val="1"/>
    <w:link w:val="256"/>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58">
    <w:name w:val="列出段落 Char"/>
    <w:link w:val="259"/>
    <w:qFormat/>
    <w:uiPriority w:val="0"/>
    <w:rPr>
      <w:rFonts w:ascii="Calibri" w:hAnsi="Calibri"/>
      <w:sz w:val="24"/>
      <w:szCs w:val="24"/>
      <w:lang w:eastAsia="en-US" w:bidi="en-US"/>
    </w:rPr>
  </w:style>
  <w:style w:type="paragraph" w:customStyle="1" w:styleId="259">
    <w:name w:val="列出段落1"/>
    <w:basedOn w:val="1"/>
    <w:link w:val="258"/>
    <w:qFormat/>
    <w:uiPriority w:val="0"/>
    <w:pPr>
      <w:widowControl/>
      <w:ind w:left="720"/>
      <w:contextualSpacing/>
      <w:jc w:val="left"/>
    </w:pPr>
    <w:rPr>
      <w:sz w:val="24"/>
      <w:szCs w:val="24"/>
      <w:lang w:eastAsia="en-US" w:bidi="en-US"/>
    </w:rPr>
  </w:style>
  <w:style w:type="paragraph" w:customStyle="1" w:styleId="260">
    <w:name w:val="Body Text(ch)"/>
    <w:basedOn w:val="1"/>
    <w:next w:val="18"/>
    <w:qFormat/>
    <w:uiPriority w:val="0"/>
    <w:pPr>
      <w:spacing w:after="120"/>
    </w:pPr>
    <w:rPr>
      <w:rFonts w:ascii="宋体" w:hAnsi="Arial"/>
      <w:bCs/>
      <w:iCs/>
      <w:szCs w:val="24"/>
    </w:rPr>
  </w:style>
  <w:style w:type="paragraph" w:customStyle="1" w:styleId="26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3">
    <w:name w:val="Char"/>
    <w:basedOn w:val="1"/>
    <w:qFormat/>
    <w:uiPriority w:val="0"/>
    <w:pPr>
      <w:tabs>
        <w:tab w:val="left" w:pos="360"/>
      </w:tabs>
      <w:ind w:firstLine="200"/>
    </w:pPr>
    <w:rPr>
      <w:rFonts w:ascii="Times New Roman" w:hAnsi="Times New Roman"/>
      <w:sz w:val="28"/>
      <w:szCs w:val="30"/>
    </w:rPr>
  </w:style>
  <w:style w:type="paragraph" w:customStyle="1" w:styleId="264">
    <w:name w:val="Char1"/>
    <w:basedOn w:val="15"/>
    <w:qFormat/>
    <w:uiPriority w:val="0"/>
    <w:rPr>
      <w:rFonts w:ascii="Tahoma" w:hAnsi="Tahoma"/>
      <w:sz w:val="24"/>
      <w:szCs w:val="24"/>
    </w:rPr>
  </w:style>
  <w:style w:type="paragraph" w:customStyle="1" w:styleId="26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6">
    <w:name w:val="table_lines"/>
    <w:basedOn w:val="1"/>
    <w:qFormat/>
    <w:uiPriority w:val="0"/>
    <w:pPr>
      <w:widowControl/>
      <w:jc w:val="left"/>
    </w:pPr>
    <w:rPr>
      <w:rFonts w:ascii="Times New Roman" w:hAnsi="Times New Roman"/>
      <w:sz w:val="20"/>
      <w:szCs w:val="20"/>
      <w:lang w:val="de-DE" w:eastAsia="de-DE"/>
    </w:rPr>
  </w:style>
  <w:style w:type="paragraph" w:customStyle="1" w:styleId="267">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6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9">
    <w:name w:val="Char Char Char Char"/>
    <w:basedOn w:val="15"/>
    <w:qFormat/>
    <w:uiPriority w:val="0"/>
    <w:pPr>
      <w:spacing w:line="360" w:lineRule="auto"/>
    </w:pPr>
    <w:rPr>
      <w:rFonts w:ascii="Tahoma" w:hAnsi="Tahoma"/>
      <w:sz w:val="24"/>
      <w:szCs w:val="24"/>
    </w:rPr>
  </w:style>
  <w:style w:type="paragraph" w:customStyle="1" w:styleId="270">
    <w:name w:val="4"/>
    <w:basedOn w:val="1"/>
    <w:next w:val="37"/>
    <w:qFormat/>
    <w:uiPriority w:val="0"/>
    <w:pPr>
      <w:spacing w:line="360" w:lineRule="auto"/>
      <w:ind w:firstLine="420"/>
    </w:pPr>
    <w:rPr>
      <w:rFonts w:ascii="Times New Roman" w:hAnsi="Times New Roman"/>
      <w:color w:val="FF0000"/>
      <w:sz w:val="24"/>
      <w:szCs w:val="24"/>
    </w:rPr>
  </w:style>
  <w:style w:type="paragraph" w:customStyle="1" w:styleId="271">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2">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73">
    <w:name w:val="样式1"/>
    <w:basedOn w:val="1"/>
    <w:qFormat/>
    <w:uiPriority w:val="0"/>
    <w:pPr>
      <w:numPr>
        <w:ilvl w:val="0"/>
        <w:numId w:val="3"/>
      </w:numPr>
    </w:pPr>
    <w:rPr>
      <w:rFonts w:ascii="宋体" w:hAnsi="宋体"/>
      <w:szCs w:val="21"/>
    </w:rPr>
  </w:style>
  <w:style w:type="paragraph" w:customStyle="1" w:styleId="27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6">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77">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7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4">
    <w:name w:val="Char Char Char Char1"/>
    <w:basedOn w:val="15"/>
    <w:qFormat/>
    <w:uiPriority w:val="0"/>
    <w:pPr>
      <w:spacing w:line="360" w:lineRule="auto"/>
    </w:pPr>
    <w:rPr>
      <w:rFonts w:ascii="Tahoma" w:hAnsi="Tahoma"/>
      <w:sz w:val="24"/>
      <w:szCs w:val="24"/>
    </w:rPr>
  </w:style>
  <w:style w:type="paragraph" w:customStyle="1" w:styleId="285">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8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288">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289">
    <w:name w:val="标题 211"/>
    <w:basedOn w:val="1"/>
    <w:next w:val="1"/>
    <w:link w:val="290"/>
    <w:qFormat/>
    <w:uiPriority w:val="0"/>
    <w:pPr>
      <w:keepNext/>
      <w:keepLines/>
      <w:spacing w:before="260" w:after="260" w:line="413" w:lineRule="auto"/>
      <w:outlineLvl w:val="1"/>
    </w:pPr>
    <w:rPr>
      <w:rFonts w:ascii="Arial" w:hAnsi="Arial" w:eastAsia="黑体"/>
      <w:b/>
      <w:sz w:val="32"/>
      <w:szCs w:val="20"/>
    </w:rPr>
  </w:style>
  <w:style w:type="character" w:customStyle="1" w:styleId="290">
    <w:name w:val="标题 2 字符"/>
    <w:link w:val="289"/>
    <w:qFormat/>
    <w:uiPriority w:val="0"/>
    <w:rPr>
      <w:rFonts w:ascii="Arial" w:hAnsi="Arial" w:eastAsia="黑体"/>
      <w:b/>
      <w:sz w:val="32"/>
    </w:rPr>
  </w:style>
  <w:style w:type="paragraph" w:customStyle="1" w:styleId="291">
    <w:name w:val="批注文字1"/>
    <w:basedOn w:val="1"/>
    <w:link w:val="292"/>
    <w:qFormat/>
    <w:uiPriority w:val="99"/>
    <w:pPr>
      <w:jc w:val="left"/>
    </w:pPr>
    <w:rPr>
      <w:szCs w:val="20"/>
    </w:rPr>
  </w:style>
  <w:style w:type="character" w:customStyle="1" w:styleId="292">
    <w:name w:val="批注文字 字符"/>
    <w:link w:val="291"/>
    <w:qFormat/>
    <w:uiPriority w:val="99"/>
    <w:rPr>
      <w:sz w:val="21"/>
    </w:rPr>
  </w:style>
  <w:style w:type="paragraph" w:customStyle="1" w:styleId="293">
    <w:name w:val="Normal_0_1"/>
    <w:qFormat/>
    <w:uiPriority w:val="0"/>
    <w:rPr>
      <w:rFonts w:hint="default" w:ascii="黑体" w:hAnsi="黑体" w:eastAsia="黑体" w:cs="Times New Roman"/>
      <w:b/>
      <w:sz w:val="32"/>
      <w:szCs w:val="24"/>
      <w:lang w:val="en-US" w:eastAsia="zh-CN" w:bidi="ar-SA"/>
    </w:rPr>
  </w:style>
  <w:style w:type="paragraph" w:customStyle="1" w:styleId="294">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5">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6">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297">
    <w:name w:val="标题 4 字符"/>
    <w:qFormat/>
    <w:uiPriority w:val="0"/>
    <w:rPr>
      <w:rFonts w:ascii="Arial" w:hAnsi="Arial" w:eastAsia="黑体" w:cs="Arial"/>
      <w:b/>
      <w:bCs/>
      <w:sz w:val="28"/>
      <w:szCs w:val="28"/>
    </w:rPr>
  </w:style>
  <w:style w:type="paragraph" w:customStyle="1" w:styleId="298">
    <w:name w:val="Normal_20"/>
    <w:next w:val="299"/>
    <w:qFormat/>
    <w:uiPriority w:val="0"/>
    <w:rPr>
      <w:rFonts w:hint="default" w:ascii="黑体" w:hAnsi="黑体" w:eastAsia="黑体" w:cs="黑体"/>
      <w:b/>
      <w:sz w:val="32"/>
      <w:szCs w:val="24"/>
      <w:lang w:val="en-US" w:eastAsia="zh-CN" w:bidi="ar-SA"/>
    </w:rPr>
  </w:style>
  <w:style w:type="paragraph" w:customStyle="1" w:styleId="299">
    <w:name w:val="正文文本首行缩进 21"/>
    <w:basedOn w:val="300"/>
    <w:qFormat/>
    <w:uiPriority w:val="0"/>
    <w:pPr>
      <w:spacing w:after="120"/>
      <w:ind w:left="200" w:firstLine="200"/>
    </w:pPr>
    <w:rPr>
      <w:rFonts w:eastAsia="仿宋_GB2312"/>
      <w:sz w:val="24"/>
      <w:szCs w:val="24"/>
    </w:rPr>
  </w:style>
  <w:style w:type="paragraph" w:customStyle="1" w:styleId="300">
    <w:name w:val="Normal_21"/>
    <w:qFormat/>
    <w:uiPriority w:val="0"/>
    <w:pPr>
      <w:widowControl w:val="0"/>
      <w:jc w:val="both"/>
    </w:pPr>
    <w:rPr>
      <w:rFonts w:hint="default" w:ascii="Times New Roman" w:hAnsi="Times New Roman" w:eastAsia="宋体" w:cs="Times New Roman"/>
      <w:lang w:val="en-US" w:eastAsia="zh-CN" w:bidi="ar-SA"/>
    </w:rPr>
  </w:style>
  <w:style w:type="paragraph" w:customStyle="1" w:styleId="301">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2">
    <w:name w:val="Normal_18_0"/>
    <w:qFormat/>
    <w:uiPriority w:val="0"/>
    <w:rPr>
      <w:rFonts w:hint="default" w:ascii="黑体" w:hAnsi="黑体" w:eastAsia="黑体" w:cs="黑体"/>
      <w:b/>
      <w:sz w:val="32"/>
      <w:szCs w:val="24"/>
      <w:lang w:val="en-US" w:eastAsia="zh-CN" w:bidi="ar-SA"/>
    </w:rPr>
  </w:style>
  <w:style w:type="paragraph" w:customStyle="1" w:styleId="303">
    <w:name w:val="正文_12_0_0_0_0"/>
    <w:basedOn w:val="1"/>
    <w:qFormat/>
    <w:uiPriority w:val="0"/>
    <w:rPr>
      <w:rFonts w:ascii="Times New Roman" w:hAnsi="Times New Roman"/>
      <w:szCs w:val="24"/>
    </w:rPr>
  </w:style>
  <w:style w:type="paragraph" w:customStyle="1" w:styleId="304">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5">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6">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7">
    <w:name w:val="正文1_0"/>
    <w:next w:val="308"/>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08">
    <w:name w:val="正文3"/>
    <w:qFormat/>
    <w:uiPriority w:val="0"/>
    <w:pPr>
      <w:widowControl w:val="0"/>
      <w:jc w:val="both"/>
    </w:pPr>
    <w:rPr>
      <w:rFonts w:hint="default" w:ascii="Calibri" w:hAnsi="Calibri" w:eastAsia="宋体" w:cs="Times New Roman"/>
      <w:lang w:val="en-US" w:eastAsia="zh-CN" w:bidi="ar-SA"/>
    </w:rPr>
  </w:style>
  <w:style w:type="paragraph" w:customStyle="1" w:styleId="309">
    <w:name w:val="正文_16_0_0"/>
    <w:next w:val="30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0">
    <w:name w:val="Normal_3_0"/>
    <w:qFormat/>
    <w:uiPriority w:val="0"/>
    <w:rPr>
      <w:rFonts w:hint="default" w:ascii="黑体" w:hAnsi="黑体" w:eastAsia="黑体" w:cs="Times New Roman"/>
      <w:b/>
      <w:sz w:val="32"/>
      <w:szCs w:val="24"/>
      <w:lang w:val="en-US" w:eastAsia="zh-CN" w:bidi="ar-SA"/>
    </w:rPr>
  </w:style>
  <w:style w:type="paragraph" w:customStyle="1" w:styleId="311">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2">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3">
    <w:name w:val="正文_2"/>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14">
    <w:name w:val="正文_3_0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5">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6">
    <w:name w:val="正文文本_1"/>
    <w:basedOn w:val="295"/>
    <w:link w:val="317"/>
    <w:qFormat/>
    <w:uiPriority w:val="0"/>
    <w:pPr>
      <w:spacing w:line="60" w:lineRule="auto"/>
    </w:pPr>
    <w:rPr>
      <w:rFonts w:ascii="仿宋_GB2312" w:eastAsia="仿宋_GB2312"/>
      <w:sz w:val="32"/>
    </w:rPr>
  </w:style>
  <w:style w:type="character" w:customStyle="1" w:styleId="317">
    <w:name w:val="正文文本 Char_0"/>
    <w:link w:val="316"/>
    <w:qFormat/>
    <w:uiPriority w:val="0"/>
    <w:rPr>
      <w:rFonts w:ascii="仿宋_GB2312" w:eastAsia="仿宋_GB2312"/>
      <w:sz w:val="32"/>
      <w:szCs w:val="22"/>
    </w:rPr>
  </w:style>
  <w:style w:type="paragraph" w:customStyle="1" w:styleId="318">
    <w:name w:val="Default_1"/>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19">
    <w:name w:val="List Paragraph1_0"/>
    <w:basedOn w:val="295"/>
    <w:qFormat/>
    <w:uiPriority w:val="0"/>
    <w:pPr>
      <w:ind w:firstLine="420"/>
    </w:pPr>
    <w:rPr>
      <w:rFonts w:ascii="Times New Roman" w:hAnsi="Times New Roman"/>
      <w:b/>
      <w:sz w:val="24"/>
      <w:szCs w:val="24"/>
    </w:rPr>
  </w:style>
  <w:style w:type="paragraph" w:customStyle="1" w:styleId="320">
    <w:name w:val="正文_10_0"/>
    <w:qFormat/>
    <w:uiPriority w:val="0"/>
    <w:pPr>
      <w:widowControl w:val="0"/>
      <w:jc w:val="both"/>
    </w:pPr>
    <w:rPr>
      <w:rFonts w:hint="default" w:ascii="Calibri" w:hAnsi="Calibri" w:eastAsia="宋体" w:cs="Times New Roman"/>
      <w:sz w:val="21"/>
      <w:lang w:val="en-US" w:eastAsia="zh-CN" w:bidi="ar-SA"/>
    </w:rPr>
  </w:style>
  <w:style w:type="paragraph" w:customStyle="1" w:styleId="321">
    <w:name w:val="首行缩进"/>
    <w:basedOn w:val="1"/>
    <w:qFormat/>
    <w:uiPriority w:val="0"/>
    <w:pPr>
      <w:ind w:firstLine="480"/>
    </w:pPr>
    <w:rPr>
      <w:lang w:val="zh-CN"/>
    </w:rPr>
  </w:style>
  <w:style w:type="paragraph" w:customStyle="1" w:styleId="322">
    <w:name w:val="Normal1"/>
    <w:qFormat/>
    <w:uiPriority w:val="0"/>
    <w:rPr>
      <w:rFonts w:hint="default" w:ascii="Times New Roman" w:hAnsi="Times New Roman" w:eastAsia="Times New Roman" w:cs="Times New Roman"/>
      <w:sz w:val="24"/>
      <w:szCs w:val="24"/>
      <w:lang w:val="en-US" w:eastAsia="zh-CN" w:bidi="ar-SA"/>
    </w:rPr>
  </w:style>
  <w:style w:type="paragraph" w:customStyle="1" w:styleId="323">
    <w:name w:val="&quot;正文_1_2&quot;"/>
    <w:qFormat/>
    <w:uiPriority w:val="0"/>
    <w:pPr>
      <w:widowControl w:val="0"/>
      <w:jc w:val="both"/>
    </w:pPr>
    <w:rPr>
      <w:rFonts w:hint="default" w:ascii="Calibri" w:hAnsi="Calibri" w:eastAsia="宋体" w:cs="Times New Roman"/>
      <w:sz w:val="21"/>
      <w:lang w:val="en-US" w:eastAsia="zh-CN" w:bidi="ar-SA"/>
    </w:rPr>
  </w:style>
  <w:style w:type="paragraph" w:customStyle="1" w:styleId="324">
    <w:name w:val="&quot;正文_0_1_0&quot;_0"/>
    <w:qFormat/>
    <w:uiPriority w:val="0"/>
    <w:pPr>
      <w:widowControl w:val="0"/>
      <w:jc w:val="both"/>
    </w:pPr>
    <w:rPr>
      <w:rFonts w:hint="default" w:ascii="Calibri" w:hAnsi="Calibri" w:eastAsia="宋体" w:cs="Times New Roman"/>
      <w:sz w:val="21"/>
      <w:lang w:val="en-US" w:eastAsia="zh-CN" w:bidi="ar-SA"/>
    </w:rPr>
  </w:style>
  <w:style w:type="paragraph" w:customStyle="1" w:styleId="325">
    <w:name w:val="Normal_19"/>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26">
    <w:name w:val="缺省文本"/>
    <w:basedOn w:val="1"/>
    <w:qFormat/>
    <w:uiPriority w:val="0"/>
    <w:pPr>
      <w:jc w:val="left"/>
    </w:pPr>
    <w:rPr>
      <w:sz w:val="24"/>
    </w:rPr>
  </w:style>
  <w:style w:type="paragraph" w:customStyle="1" w:styleId="327">
    <w:name w:val="reader-word-layer reader-word-s7-7"/>
    <w:basedOn w:val="1"/>
    <w:qFormat/>
    <w:uiPriority w:val="0"/>
    <w:pPr>
      <w:widowControl/>
      <w:spacing w:before="100" w:beforeAutospacing="1" w:after="100" w:afterAutospacing="1"/>
      <w:jc w:val="left"/>
    </w:pPr>
    <w:rPr>
      <w:rFonts w:ascii="宋体" w:hAnsi="宋体" w:cs="宋体"/>
      <w:sz w:val="24"/>
    </w:rPr>
  </w:style>
  <w:style w:type="paragraph" w:customStyle="1" w:styleId="328">
    <w:name w:val="reader-word-layer reader-word-s7-0"/>
    <w:basedOn w:val="1"/>
    <w:qFormat/>
    <w:uiPriority w:val="0"/>
    <w:pPr>
      <w:widowControl/>
      <w:spacing w:before="100" w:beforeAutospacing="1" w:after="100" w:afterAutospacing="1"/>
      <w:jc w:val="left"/>
    </w:pPr>
    <w:rPr>
      <w:rFonts w:ascii="宋体" w:hAnsi="宋体" w:cs="宋体"/>
      <w:sz w:val="24"/>
    </w:rPr>
  </w:style>
  <w:style w:type="paragraph" w:customStyle="1" w:styleId="329">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30">
    <w:name w:val="页脚11"/>
    <w:basedOn w:val="1"/>
    <w:qFormat/>
    <w:uiPriority w:val="0"/>
    <w:pPr>
      <w:tabs>
        <w:tab w:val="center" w:pos="4153"/>
        <w:tab w:val="right" w:pos="8306"/>
      </w:tabs>
      <w:jc w:val="left"/>
    </w:pPr>
    <w:rPr>
      <w:rFonts w:ascii="Times New Roman" w:hAnsi="Times New Roman"/>
      <w:sz w:val="18"/>
      <w:szCs w:val="18"/>
    </w:rPr>
  </w:style>
  <w:style w:type="paragraph" w:customStyle="1" w:styleId="331">
    <w:name w:val="正文_3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2">
    <w:name w:val="Heading 2_0"/>
    <w:next w:val="298"/>
    <w:qFormat/>
    <w:uiPriority w:val="0"/>
    <w:pPr>
      <w:keepNext/>
      <w:keepLines/>
      <w:spacing w:before="260" w:after="260" w:line="413" w:lineRule="auto"/>
      <w:outlineLvl w:val="1"/>
    </w:pPr>
    <w:rPr>
      <w:rFonts w:hint="default" w:ascii="Arial" w:hAnsi="Arial" w:eastAsia="黑体" w:cs="Times New Roman"/>
      <w:b/>
      <w:sz w:val="32"/>
      <w:lang w:val="en-US" w:eastAsia="zh-CN" w:bidi="ar-SA"/>
    </w:rPr>
  </w:style>
  <w:style w:type="paragraph" w:customStyle="1" w:styleId="333">
    <w:name w:val="Normal_0_2_0"/>
    <w:qFormat/>
    <w:uiPriority w:val="0"/>
    <w:rPr>
      <w:rFonts w:hint="default" w:ascii="黑体" w:hAnsi="黑体" w:eastAsia="黑体" w:cs="Times New Roman"/>
      <w:b/>
      <w:sz w:val="32"/>
      <w:szCs w:val="24"/>
      <w:lang w:val="en-US" w:eastAsia="zh-CN" w:bidi="ar-SA"/>
    </w:rPr>
  </w:style>
  <w:style w:type="paragraph" w:customStyle="1" w:styleId="334">
    <w:name w:val="正文_2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5">
    <w:name w:val="正文_2_0"/>
    <w:qFormat/>
    <w:uiPriority w:val="0"/>
    <w:pPr>
      <w:widowControl w:val="0"/>
      <w:jc w:val="both"/>
    </w:pPr>
    <w:rPr>
      <w:rFonts w:hint="default" w:ascii="Calibri" w:hAnsi="Calibri" w:eastAsia="宋体" w:cs="Times New Roman"/>
      <w:lang w:val="en-US" w:eastAsia="zh-CN" w:bidi="ar-SA"/>
    </w:rPr>
  </w:style>
  <w:style w:type="paragraph" w:customStyle="1" w:styleId="336">
    <w:name w:val="正文_21"/>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62</Pages>
  <Words>16812</Words>
  <Characters>18026</Characters>
  <TotalTime>19</TotalTime>
  <ScaleCrop>false</ScaleCrop>
  <LinksUpToDate>false</LinksUpToDate>
  <CharactersWithSpaces>18301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铁路中心</dc:creator>
  <cp:lastModifiedBy>Administrator</cp:lastModifiedBy>
  <dcterms:modified xsi:type="dcterms:W3CDTF">2026-06-05T01:17:50Z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93EBA4B15D7442778A28DE81FCA7A232_13</vt:lpwstr>
  </property>
  <property fmtid="{D5CDD505-2E9C-101B-9397-08002B2CF9AE}" pid="4" name="KSOTemplateDocerSaveRecord">
    <vt:lpwstr>eyJoZGlkIjoiYjIxYTY5MGQ4ZDlkMGYzYzk3ODU2YjVkNzBiMDQwZGUifQ==</vt:lpwstr>
  </property>
</Properties>
</file>